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2158" w14:textId="77777777" w:rsidR="000A7A06" w:rsidRP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6BE3EE27"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22344F6C" w14:textId="77777777" w:rsidR="005A136A" w:rsidRDefault="005A136A"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4BD7A273" w14:textId="77777777" w:rsidR="005A136A" w:rsidRPr="000A7A06" w:rsidRDefault="005A136A"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2A7FE2CE" w14:textId="77777777" w:rsidR="00E61927" w:rsidRPr="00CD25F4" w:rsidRDefault="00E61927"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r w:rsidRPr="00C12680">
        <w:rPr>
          <w:rFonts w:ascii="方正小标宋简体" w:eastAsia="方正小标宋简体" w:hAnsi="Times New Roman" w:cs="Times New Roman" w:hint="eastAsia"/>
          <w:sz w:val="36"/>
          <w:szCs w:val="36"/>
        </w:rPr>
        <w:t>放射性体内诊断药物</w:t>
      </w:r>
      <w:r w:rsidRPr="001137D2">
        <w:rPr>
          <w:rFonts w:ascii="方正小标宋简体" w:eastAsia="方正小标宋简体" w:hAnsi="Times New Roman" w:cs="Times New Roman" w:hint="eastAsia"/>
          <w:sz w:val="36"/>
          <w:szCs w:val="36"/>
        </w:rPr>
        <w:t>非临床</w:t>
      </w:r>
      <w:r w:rsidR="00DE7840">
        <w:rPr>
          <w:rFonts w:ascii="方正小标宋简体" w:eastAsia="方正小标宋简体" w:hAnsi="Times New Roman" w:cs="Times New Roman" w:hint="eastAsia"/>
          <w:sz w:val="36"/>
          <w:szCs w:val="36"/>
        </w:rPr>
        <w:t>研究</w:t>
      </w:r>
      <w:r w:rsidRPr="00C12680">
        <w:rPr>
          <w:rFonts w:ascii="方正小标宋简体" w:eastAsia="方正小标宋简体" w:hAnsi="Times New Roman" w:cs="Times New Roman" w:hint="eastAsia"/>
          <w:sz w:val="36"/>
          <w:szCs w:val="36"/>
        </w:rPr>
        <w:t>技术指导原则</w:t>
      </w:r>
    </w:p>
    <w:p w14:paraId="072CC830" w14:textId="77777777" w:rsidR="000A7A06" w:rsidRDefault="00657FC4"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r w:rsidRPr="00C12680">
        <w:rPr>
          <w:rFonts w:ascii="方正小标宋简体" w:eastAsia="方正小标宋简体" w:hAnsi="Times New Roman" w:cs="Times New Roman" w:hint="eastAsia"/>
          <w:sz w:val="36"/>
          <w:szCs w:val="36"/>
        </w:rPr>
        <w:t>（征求意见稿）</w:t>
      </w:r>
    </w:p>
    <w:p w14:paraId="5C089AA0"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5120C703"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717FA497"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48DA2147"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733B7456" w14:textId="77777777" w:rsidR="000A7A06" w:rsidRDefault="000A7A06" w:rsidP="000A7A06">
      <w:pPr>
        <w:tabs>
          <w:tab w:val="left" w:pos="3255"/>
          <w:tab w:val="right" w:pos="8306"/>
        </w:tabs>
        <w:snapToGrid w:val="0"/>
        <w:spacing w:line="360" w:lineRule="auto"/>
        <w:jc w:val="center"/>
        <w:rPr>
          <w:rFonts w:ascii="方正小标宋简体" w:eastAsia="方正小标宋简体" w:hAnsi="Times New Roman" w:cs="Times New Roman"/>
          <w:sz w:val="36"/>
          <w:szCs w:val="36"/>
        </w:rPr>
      </w:pPr>
    </w:p>
    <w:p w14:paraId="4AEAF563" w14:textId="77777777" w:rsidR="009C28EE" w:rsidRPr="009C28EE" w:rsidRDefault="00DB3D6F" w:rsidP="009C28EE">
      <w:pPr>
        <w:tabs>
          <w:tab w:val="left" w:pos="3255"/>
          <w:tab w:val="right" w:pos="8306"/>
        </w:tabs>
        <w:snapToGrid w:val="0"/>
        <w:spacing w:line="360" w:lineRule="auto"/>
        <w:jc w:val="center"/>
        <w:rPr>
          <w:rFonts w:ascii="方正小标宋简体" w:eastAsia="方正小标宋简体" w:hAnsi="Times New Roman" w:cs="Times New Roman"/>
          <w:sz w:val="36"/>
          <w:szCs w:val="36"/>
        </w:rPr>
      </w:pPr>
      <w:r w:rsidRPr="00DB3D6F">
        <w:rPr>
          <w:rFonts w:ascii="方正小标宋简体" w:eastAsia="方正小标宋简体" w:hAnsi="Times New Roman" w:cs="Times New Roman" w:hint="eastAsia"/>
          <w:sz w:val="36"/>
          <w:szCs w:val="36"/>
        </w:rPr>
        <w:t>2020</w:t>
      </w:r>
      <w:r w:rsidR="00821123" w:rsidRPr="00DB3D6F">
        <w:rPr>
          <w:rFonts w:ascii="方正小标宋简体" w:eastAsia="方正小标宋简体" w:hAnsi="Times New Roman" w:cs="Times New Roman" w:hint="eastAsia"/>
          <w:sz w:val="36"/>
          <w:szCs w:val="36"/>
        </w:rPr>
        <w:t>年</w:t>
      </w:r>
      <w:r w:rsidRPr="00DB3D6F">
        <w:rPr>
          <w:rFonts w:ascii="方正小标宋简体" w:eastAsia="方正小标宋简体" w:hAnsi="Times New Roman" w:cs="Times New Roman" w:hint="eastAsia"/>
          <w:sz w:val="36"/>
          <w:szCs w:val="36"/>
        </w:rPr>
        <w:t>8</w:t>
      </w:r>
      <w:r w:rsidR="00821123" w:rsidRPr="00DB3D6F">
        <w:rPr>
          <w:rFonts w:ascii="方正小标宋简体" w:eastAsia="方正小标宋简体" w:hAnsi="Times New Roman" w:cs="Times New Roman" w:hint="eastAsia"/>
          <w:sz w:val="36"/>
          <w:szCs w:val="36"/>
        </w:rPr>
        <w:t>月</w:t>
      </w:r>
    </w:p>
    <w:p w14:paraId="32D4B168" w14:textId="77777777" w:rsidR="009C28EE" w:rsidRDefault="009C28EE" w:rsidP="009C28EE">
      <w:pPr>
        <w:widowControl/>
        <w:rPr>
          <w:rFonts w:ascii="方正小标宋简体" w:eastAsia="方正小标宋简体" w:hAnsi="华文仿宋" w:cs="Times New Roman"/>
          <w:sz w:val="36"/>
          <w:szCs w:val="36"/>
        </w:rPr>
        <w:sectPr w:rsidR="009C28EE" w:rsidSect="009C28EE">
          <w:footerReference w:type="default" r:id="rId8"/>
          <w:pgSz w:w="11906" w:h="16838"/>
          <w:pgMar w:top="1440" w:right="1800" w:bottom="1440" w:left="1800" w:header="851" w:footer="992" w:gutter="0"/>
          <w:cols w:space="425"/>
          <w:titlePg/>
          <w:docGrid w:type="lines" w:linePitch="312"/>
        </w:sectPr>
      </w:pPr>
    </w:p>
    <w:p w14:paraId="24A69F7A" w14:textId="77777777" w:rsidR="00E61927" w:rsidRPr="003B4D59" w:rsidRDefault="00E61927" w:rsidP="009C28EE">
      <w:pPr>
        <w:widowControl/>
        <w:jc w:val="center"/>
        <w:rPr>
          <w:rFonts w:ascii="方正小标宋简体" w:eastAsia="方正小标宋简体" w:hAnsi="华文仿宋" w:cs="Times New Roman"/>
          <w:sz w:val="36"/>
          <w:szCs w:val="36"/>
        </w:rPr>
      </w:pPr>
      <w:r w:rsidRPr="003B4D59">
        <w:rPr>
          <w:rFonts w:ascii="方正小标宋简体" w:eastAsia="方正小标宋简体" w:hAnsi="华文仿宋" w:cs="Times New Roman" w:hint="eastAsia"/>
          <w:sz w:val="36"/>
          <w:szCs w:val="36"/>
        </w:rPr>
        <w:lastRenderedPageBreak/>
        <w:t>目录</w:t>
      </w:r>
    </w:p>
    <w:p w14:paraId="23195A7B" w14:textId="43C3B46D" w:rsidR="009B6087" w:rsidRPr="009B6087" w:rsidRDefault="00D40C75">
      <w:pPr>
        <w:pStyle w:val="1"/>
        <w:tabs>
          <w:tab w:val="right" w:leader="dot" w:pos="8296"/>
        </w:tabs>
        <w:rPr>
          <w:noProof/>
          <w:sz w:val="28"/>
          <w:szCs w:val="28"/>
        </w:rPr>
      </w:pPr>
      <w:r w:rsidRPr="0029363E">
        <w:rPr>
          <w:rFonts w:ascii="华文仿宋" w:eastAsia="华文仿宋" w:hAnsi="华文仿宋" w:cs="Times New Roman"/>
          <w:sz w:val="22"/>
        </w:rPr>
        <w:fldChar w:fldCharType="begin"/>
      </w:r>
      <w:r w:rsidR="000912EB" w:rsidRPr="0029363E">
        <w:rPr>
          <w:rFonts w:ascii="华文仿宋" w:eastAsia="华文仿宋" w:hAnsi="华文仿宋" w:cs="Times New Roman"/>
          <w:sz w:val="22"/>
        </w:rPr>
        <w:instrText xml:space="preserve"> TOC \o "1-3" \h \z \u </w:instrText>
      </w:r>
      <w:r w:rsidRPr="0029363E">
        <w:rPr>
          <w:rFonts w:ascii="华文仿宋" w:eastAsia="华文仿宋" w:hAnsi="华文仿宋" w:cs="Times New Roman"/>
          <w:sz w:val="22"/>
        </w:rPr>
        <w:fldChar w:fldCharType="separate"/>
      </w:r>
      <w:hyperlink w:anchor="_Toc49175026" w:history="1">
        <w:r w:rsidR="009B6087" w:rsidRPr="009B6087">
          <w:rPr>
            <w:rStyle w:val="af"/>
            <w:rFonts w:ascii="黑体" w:eastAsia="黑体" w:hAnsi="黑体" w:cs="Times New Roman"/>
            <w:noProof/>
            <w:sz w:val="28"/>
            <w:szCs w:val="28"/>
          </w:rPr>
          <w:t>一、概述</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_Toc49175026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1</w:t>
        </w:r>
        <w:r w:rsidR="009B6087" w:rsidRPr="009B6087">
          <w:rPr>
            <w:noProof/>
            <w:webHidden/>
            <w:sz w:val="28"/>
            <w:szCs w:val="28"/>
          </w:rPr>
          <w:fldChar w:fldCharType="end"/>
        </w:r>
      </w:hyperlink>
    </w:p>
    <w:p w14:paraId="1EB0F49B" w14:textId="43D7EDAA" w:rsidR="009B6087" w:rsidRPr="009B6087" w:rsidRDefault="00171C99">
      <w:pPr>
        <w:pStyle w:val="1"/>
        <w:tabs>
          <w:tab w:val="right" w:leader="dot" w:pos="8296"/>
        </w:tabs>
        <w:rPr>
          <w:noProof/>
          <w:sz w:val="28"/>
          <w:szCs w:val="28"/>
        </w:rPr>
      </w:pPr>
      <w:hyperlink w:anchor="_Toc49175027" w:history="1">
        <w:r w:rsidR="009B6087" w:rsidRPr="009B6087">
          <w:rPr>
            <w:rStyle w:val="af"/>
            <w:rFonts w:ascii="黑体" w:eastAsia="黑体" w:hAnsi="黑体" w:cs="Times New Roman"/>
            <w:noProof/>
            <w:sz w:val="28"/>
            <w:szCs w:val="28"/>
          </w:rPr>
          <w:t>二、总体原则</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_Toc49175027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2</w:t>
        </w:r>
        <w:r w:rsidR="009B6087" w:rsidRPr="009B6087">
          <w:rPr>
            <w:noProof/>
            <w:webHidden/>
            <w:sz w:val="28"/>
            <w:szCs w:val="28"/>
          </w:rPr>
          <w:fldChar w:fldCharType="end"/>
        </w:r>
      </w:hyperlink>
    </w:p>
    <w:p w14:paraId="05A4A292" w14:textId="27D0332E" w:rsidR="009B6087" w:rsidRPr="009B6087" w:rsidRDefault="00171C99">
      <w:pPr>
        <w:pStyle w:val="2"/>
        <w:tabs>
          <w:tab w:val="right" w:leader="dot" w:pos="8296"/>
        </w:tabs>
        <w:rPr>
          <w:noProof/>
          <w:sz w:val="28"/>
          <w:szCs w:val="28"/>
        </w:rPr>
      </w:pPr>
      <w:hyperlink w:anchor="_Toc49175028" w:history="1">
        <w:r w:rsidR="009B6087" w:rsidRPr="009B6087">
          <w:rPr>
            <w:rStyle w:val="af"/>
            <w:rFonts w:ascii="仿宋_GB2312" w:eastAsia="仿宋_GB2312" w:hAnsi="华文仿宋" w:cs="Times New Roman"/>
            <w:noProof/>
            <w:sz w:val="28"/>
            <w:szCs w:val="28"/>
          </w:rPr>
          <w:t>（一）受试物</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_Toc49175028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2</w:t>
        </w:r>
        <w:r w:rsidR="009B6087" w:rsidRPr="009B6087">
          <w:rPr>
            <w:noProof/>
            <w:webHidden/>
            <w:sz w:val="28"/>
            <w:szCs w:val="28"/>
          </w:rPr>
          <w:fldChar w:fldCharType="end"/>
        </w:r>
      </w:hyperlink>
    </w:p>
    <w:p w14:paraId="17FD80BA" w14:textId="63D4ED13" w:rsidR="009B6087" w:rsidRPr="009B6087" w:rsidRDefault="00171C99">
      <w:pPr>
        <w:pStyle w:val="2"/>
        <w:tabs>
          <w:tab w:val="right" w:leader="dot" w:pos="8296"/>
        </w:tabs>
        <w:rPr>
          <w:noProof/>
          <w:sz w:val="28"/>
          <w:szCs w:val="28"/>
        </w:rPr>
      </w:pPr>
      <w:hyperlink w:anchor="_Toc49175029" w:history="1">
        <w:r w:rsidR="009B6087" w:rsidRPr="009B6087">
          <w:rPr>
            <w:rStyle w:val="af"/>
            <w:rFonts w:ascii="仿宋_GB2312" w:eastAsia="仿宋_GB2312" w:hAnsi="华文仿宋" w:cs="Times New Roman"/>
            <w:noProof/>
            <w:sz w:val="28"/>
            <w:szCs w:val="28"/>
          </w:rPr>
          <w:t>（二）动物种属</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_Toc49175029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3</w:t>
        </w:r>
        <w:r w:rsidR="009B6087" w:rsidRPr="009B6087">
          <w:rPr>
            <w:noProof/>
            <w:webHidden/>
            <w:sz w:val="28"/>
            <w:szCs w:val="28"/>
          </w:rPr>
          <w:fldChar w:fldCharType="end"/>
        </w:r>
      </w:hyperlink>
    </w:p>
    <w:p w14:paraId="73401032" w14:textId="2FFC60D4" w:rsidR="009B6087" w:rsidRPr="009B6087" w:rsidRDefault="00171C99">
      <w:pPr>
        <w:pStyle w:val="2"/>
        <w:tabs>
          <w:tab w:val="right" w:leader="dot" w:pos="8296"/>
        </w:tabs>
        <w:rPr>
          <w:noProof/>
          <w:sz w:val="28"/>
          <w:szCs w:val="28"/>
        </w:rPr>
      </w:pPr>
      <w:hyperlink w:anchor="_Toc49175030" w:history="1">
        <w:r w:rsidR="009B6087" w:rsidRPr="009B6087">
          <w:rPr>
            <w:rStyle w:val="af"/>
            <w:rFonts w:ascii="仿宋_GB2312" w:eastAsia="仿宋_GB2312" w:hAnsi="华文仿宋" w:cs="Times New Roman"/>
            <w:noProof/>
            <w:sz w:val="28"/>
            <w:szCs w:val="28"/>
          </w:rPr>
          <w:t>（三）有效性研究</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_Toc49175030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3</w:t>
        </w:r>
        <w:r w:rsidR="009B6087" w:rsidRPr="009B6087">
          <w:rPr>
            <w:noProof/>
            <w:webHidden/>
            <w:sz w:val="28"/>
            <w:szCs w:val="28"/>
          </w:rPr>
          <w:fldChar w:fldCharType="end"/>
        </w:r>
      </w:hyperlink>
    </w:p>
    <w:p w14:paraId="7BBA49F1" w14:textId="3A236621" w:rsidR="009B6087" w:rsidRPr="009B6087" w:rsidRDefault="00171C99">
      <w:pPr>
        <w:pStyle w:val="2"/>
        <w:tabs>
          <w:tab w:val="right" w:leader="dot" w:pos="8296"/>
        </w:tabs>
        <w:rPr>
          <w:noProof/>
          <w:sz w:val="28"/>
          <w:szCs w:val="28"/>
        </w:rPr>
      </w:pPr>
      <w:hyperlink w:anchor="_Toc49175031" w:history="1">
        <w:r w:rsidR="009B6087" w:rsidRPr="009B6087">
          <w:rPr>
            <w:rStyle w:val="af"/>
            <w:rFonts w:ascii="仿宋_GB2312" w:eastAsia="仿宋_GB2312" w:hAnsi="华文仿宋" w:cs="Times New Roman"/>
            <w:noProof/>
            <w:sz w:val="28"/>
            <w:szCs w:val="28"/>
          </w:rPr>
          <w:t>（四）安全性研究</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_Toc49175031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3</w:t>
        </w:r>
        <w:r w:rsidR="009B6087" w:rsidRPr="009B6087">
          <w:rPr>
            <w:noProof/>
            <w:webHidden/>
            <w:sz w:val="28"/>
            <w:szCs w:val="28"/>
          </w:rPr>
          <w:fldChar w:fldCharType="end"/>
        </w:r>
      </w:hyperlink>
    </w:p>
    <w:p w14:paraId="34B3A574" w14:textId="737A6121" w:rsidR="009B6087" w:rsidRPr="009B6087" w:rsidRDefault="00171C99">
      <w:pPr>
        <w:pStyle w:val="1"/>
        <w:tabs>
          <w:tab w:val="right" w:leader="dot" w:pos="8296"/>
        </w:tabs>
        <w:rPr>
          <w:noProof/>
          <w:sz w:val="28"/>
          <w:szCs w:val="28"/>
        </w:rPr>
      </w:pPr>
      <w:hyperlink w:anchor="_Toc49175032" w:history="1">
        <w:r w:rsidR="009B6087" w:rsidRPr="009B6087">
          <w:rPr>
            <w:rStyle w:val="af"/>
            <w:rFonts w:ascii="黑体" w:eastAsia="黑体" w:hAnsi="黑体" w:cs="Times New Roman"/>
            <w:noProof/>
            <w:sz w:val="28"/>
            <w:szCs w:val="28"/>
          </w:rPr>
          <w:t>三、对非临床研究实施的建议</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_Toc49175032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3</w:t>
        </w:r>
        <w:r w:rsidR="009B6087" w:rsidRPr="009B6087">
          <w:rPr>
            <w:noProof/>
            <w:webHidden/>
            <w:sz w:val="28"/>
            <w:szCs w:val="28"/>
          </w:rPr>
          <w:fldChar w:fldCharType="end"/>
        </w:r>
      </w:hyperlink>
    </w:p>
    <w:p w14:paraId="6ADF1334" w14:textId="7A38EA96" w:rsidR="009B6087" w:rsidRPr="009B6087" w:rsidRDefault="00171C99">
      <w:pPr>
        <w:pStyle w:val="2"/>
        <w:tabs>
          <w:tab w:val="right" w:leader="dot" w:pos="8296"/>
        </w:tabs>
        <w:rPr>
          <w:noProof/>
          <w:sz w:val="28"/>
          <w:szCs w:val="28"/>
        </w:rPr>
      </w:pPr>
      <w:hyperlink w:anchor="_Toc49175033" w:history="1">
        <w:r w:rsidR="009B6087" w:rsidRPr="009B6087">
          <w:rPr>
            <w:rStyle w:val="af"/>
            <w:rFonts w:ascii="仿宋_GB2312" w:eastAsia="仿宋_GB2312" w:hAnsi="华文仿宋" w:cs="Times New Roman"/>
            <w:noProof/>
            <w:sz w:val="28"/>
            <w:szCs w:val="28"/>
          </w:rPr>
          <w:t>（一）药效学研究</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_Toc49175033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4</w:t>
        </w:r>
        <w:r w:rsidR="009B6087" w:rsidRPr="009B6087">
          <w:rPr>
            <w:noProof/>
            <w:webHidden/>
            <w:sz w:val="28"/>
            <w:szCs w:val="28"/>
          </w:rPr>
          <w:fldChar w:fldCharType="end"/>
        </w:r>
      </w:hyperlink>
    </w:p>
    <w:p w14:paraId="0AF09759" w14:textId="4937516A" w:rsidR="009B6087" w:rsidRPr="009B6087" w:rsidRDefault="00171C99">
      <w:pPr>
        <w:pStyle w:val="2"/>
        <w:tabs>
          <w:tab w:val="right" w:leader="dot" w:pos="8296"/>
        </w:tabs>
        <w:rPr>
          <w:noProof/>
          <w:sz w:val="28"/>
          <w:szCs w:val="28"/>
        </w:rPr>
      </w:pPr>
      <w:hyperlink w:anchor="_Toc49175034" w:history="1">
        <w:r w:rsidR="009B6087" w:rsidRPr="009B6087">
          <w:rPr>
            <w:rStyle w:val="af"/>
            <w:rFonts w:ascii="仿宋_GB2312" w:eastAsia="仿宋_GB2312" w:hAnsi="华文仿宋" w:cs="Times New Roman"/>
            <w:noProof/>
            <w:sz w:val="28"/>
            <w:szCs w:val="28"/>
          </w:rPr>
          <w:t>（二）药代动力学研究/毒代动力学研究</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_Toc49175034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4</w:t>
        </w:r>
        <w:r w:rsidR="009B6087" w:rsidRPr="009B6087">
          <w:rPr>
            <w:noProof/>
            <w:webHidden/>
            <w:sz w:val="28"/>
            <w:szCs w:val="28"/>
          </w:rPr>
          <w:fldChar w:fldCharType="end"/>
        </w:r>
      </w:hyperlink>
    </w:p>
    <w:p w14:paraId="4AEAE2B6" w14:textId="78E221B1" w:rsidR="009B6087" w:rsidRPr="009B6087" w:rsidRDefault="00171C99">
      <w:pPr>
        <w:pStyle w:val="2"/>
        <w:tabs>
          <w:tab w:val="right" w:leader="dot" w:pos="8296"/>
        </w:tabs>
        <w:rPr>
          <w:noProof/>
          <w:sz w:val="28"/>
          <w:szCs w:val="28"/>
        </w:rPr>
      </w:pPr>
      <w:hyperlink w:anchor="_Toc49175035" w:history="1">
        <w:r w:rsidR="009B6087" w:rsidRPr="009B6087">
          <w:rPr>
            <w:rStyle w:val="af"/>
            <w:rFonts w:ascii="仿宋_GB2312" w:eastAsia="仿宋_GB2312" w:hAnsi="华文仿宋" w:cs="Times New Roman"/>
            <w:noProof/>
            <w:sz w:val="28"/>
            <w:szCs w:val="28"/>
          </w:rPr>
          <w:t>（三）毒理学研究</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_Toc49175035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5</w:t>
        </w:r>
        <w:r w:rsidR="009B6087" w:rsidRPr="009B6087">
          <w:rPr>
            <w:noProof/>
            <w:webHidden/>
            <w:sz w:val="28"/>
            <w:szCs w:val="28"/>
          </w:rPr>
          <w:fldChar w:fldCharType="end"/>
        </w:r>
      </w:hyperlink>
    </w:p>
    <w:p w14:paraId="30082E7E" w14:textId="524B71F8" w:rsidR="009B6087" w:rsidRPr="009B6087" w:rsidRDefault="00171C99">
      <w:pPr>
        <w:pStyle w:val="3"/>
        <w:tabs>
          <w:tab w:val="right" w:leader="dot" w:pos="8296"/>
        </w:tabs>
        <w:rPr>
          <w:noProof/>
          <w:sz w:val="28"/>
          <w:szCs w:val="28"/>
        </w:rPr>
      </w:pPr>
      <w:hyperlink w:anchor="_Toc49175036" w:history="1">
        <w:r w:rsidR="009B6087" w:rsidRPr="009B6087">
          <w:rPr>
            <w:rStyle w:val="af"/>
            <w:rFonts w:ascii="仿宋_GB2312" w:eastAsia="仿宋_GB2312" w:hAnsi="华文仿宋" w:cs="Times New Roman"/>
            <w:noProof/>
            <w:sz w:val="28"/>
            <w:szCs w:val="28"/>
          </w:rPr>
          <w:t>1.安全药理学试验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_Toc49175036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5</w:t>
        </w:r>
        <w:r w:rsidR="009B6087" w:rsidRPr="009B6087">
          <w:rPr>
            <w:noProof/>
            <w:webHidden/>
            <w:sz w:val="28"/>
            <w:szCs w:val="28"/>
          </w:rPr>
          <w:fldChar w:fldCharType="end"/>
        </w:r>
      </w:hyperlink>
    </w:p>
    <w:p w14:paraId="44EC7176" w14:textId="0A593143" w:rsidR="009B6087" w:rsidRPr="009B6087" w:rsidRDefault="00171C99">
      <w:pPr>
        <w:pStyle w:val="3"/>
        <w:tabs>
          <w:tab w:val="right" w:leader="dot" w:pos="8296"/>
        </w:tabs>
        <w:rPr>
          <w:noProof/>
          <w:sz w:val="28"/>
          <w:szCs w:val="28"/>
        </w:rPr>
      </w:pPr>
      <w:hyperlink w:anchor="_Toc49175037" w:history="1">
        <w:r w:rsidR="009B6087" w:rsidRPr="009B6087">
          <w:rPr>
            <w:rStyle w:val="af"/>
            <w:rFonts w:ascii="仿宋_GB2312" w:eastAsia="仿宋_GB2312" w:hAnsi="华文仿宋" w:cs="Times New Roman"/>
            <w:noProof/>
            <w:sz w:val="28"/>
            <w:szCs w:val="28"/>
          </w:rPr>
          <w:t>2.单次给药毒性试验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_Toc49175037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6</w:t>
        </w:r>
        <w:r w:rsidR="009B6087" w:rsidRPr="009B6087">
          <w:rPr>
            <w:noProof/>
            <w:webHidden/>
            <w:sz w:val="28"/>
            <w:szCs w:val="28"/>
          </w:rPr>
          <w:fldChar w:fldCharType="end"/>
        </w:r>
      </w:hyperlink>
    </w:p>
    <w:p w14:paraId="3DC9A5F7" w14:textId="5CE1CC61" w:rsidR="009B6087" w:rsidRPr="009B6087" w:rsidRDefault="00171C99">
      <w:pPr>
        <w:pStyle w:val="3"/>
        <w:tabs>
          <w:tab w:val="right" w:leader="dot" w:pos="8296"/>
        </w:tabs>
        <w:rPr>
          <w:noProof/>
          <w:sz w:val="28"/>
          <w:szCs w:val="28"/>
        </w:rPr>
      </w:pPr>
      <w:hyperlink w:anchor="_Toc49175038" w:history="1">
        <w:r w:rsidR="009B6087" w:rsidRPr="009B6087">
          <w:rPr>
            <w:rStyle w:val="af"/>
            <w:rFonts w:ascii="仿宋_GB2312" w:eastAsia="仿宋_GB2312" w:hAnsi="华文仿宋" w:cs="Times New Roman"/>
            <w:noProof/>
            <w:sz w:val="28"/>
            <w:szCs w:val="28"/>
          </w:rPr>
          <w:t>3.重复给药毒性试验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_Toc49175038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6</w:t>
        </w:r>
        <w:r w:rsidR="009B6087" w:rsidRPr="009B6087">
          <w:rPr>
            <w:noProof/>
            <w:webHidden/>
            <w:sz w:val="28"/>
            <w:szCs w:val="28"/>
          </w:rPr>
          <w:fldChar w:fldCharType="end"/>
        </w:r>
      </w:hyperlink>
    </w:p>
    <w:p w14:paraId="7BF0D65C" w14:textId="59D65138" w:rsidR="009B6087" w:rsidRPr="009B6087" w:rsidRDefault="00171C99">
      <w:pPr>
        <w:pStyle w:val="3"/>
        <w:tabs>
          <w:tab w:val="right" w:leader="dot" w:pos="8296"/>
        </w:tabs>
        <w:rPr>
          <w:noProof/>
          <w:sz w:val="28"/>
          <w:szCs w:val="28"/>
        </w:rPr>
      </w:pPr>
      <w:hyperlink w:anchor="_Toc49175039" w:history="1">
        <w:r w:rsidR="009B6087" w:rsidRPr="009B6087">
          <w:rPr>
            <w:rStyle w:val="af"/>
            <w:rFonts w:ascii="仿宋_GB2312" w:eastAsia="仿宋_GB2312" w:hAnsi="华文仿宋" w:cs="Times New Roman"/>
            <w:noProof/>
            <w:sz w:val="28"/>
            <w:szCs w:val="28"/>
          </w:rPr>
          <w:t>4.遗传毒性试验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_Toc49175039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7</w:t>
        </w:r>
        <w:r w:rsidR="009B6087" w:rsidRPr="009B6087">
          <w:rPr>
            <w:noProof/>
            <w:webHidden/>
            <w:sz w:val="28"/>
            <w:szCs w:val="28"/>
          </w:rPr>
          <w:fldChar w:fldCharType="end"/>
        </w:r>
      </w:hyperlink>
    </w:p>
    <w:p w14:paraId="615C7B42" w14:textId="4F47EB40" w:rsidR="009B6087" w:rsidRPr="009B6087" w:rsidRDefault="00171C99">
      <w:pPr>
        <w:pStyle w:val="3"/>
        <w:tabs>
          <w:tab w:val="right" w:leader="dot" w:pos="8296"/>
        </w:tabs>
        <w:rPr>
          <w:noProof/>
          <w:sz w:val="28"/>
          <w:szCs w:val="28"/>
        </w:rPr>
      </w:pPr>
      <w:hyperlink w:anchor="_Toc49175040" w:history="1">
        <w:r w:rsidR="009B6087" w:rsidRPr="009B6087">
          <w:rPr>
            <w:rStyle w:val="af"/>
            <w:rFonts w:ascii="仿宋_GB2312" w:eastAsia="仿宋_GB2312" w:hAnsi="华文仿宋" w:cs="Times New Roman"/>
            <w:noProof/>
            <w:sz w:val="28"/>
            <w:szCs w:val="28"/>
          </w:rPr>
          <w:t>5.生殖毒性试验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_Toc49175040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7</w:t>
        </w:r>
        <w:r w:rsidR="009B6087" w:rsidRPr="009B6087">
          <w:rPr>
            <w:noProof/>
            <w:webHidden/>
            <w:sz w:val="28"/>
            <w:szCs w:val="28"/>
          </w:rPr>
          <w:fldChar w:fldCharType="end"/>
        </w:r>
      </w:hyperlink>
    </w:p>
    <w:p w14:paraId="33F18C49" w14:textId="7241C78E" w:rsidR="009B6087" w:rsidRPr="009B6087" w:rsidRDefault="00171C99">
      <w:pPr>
        <w:pStyle w:val="3"/>
        <w:tabs>
          <w:tab w:val="right" w:leader="dot" w:pos="8296"/>
        </w:tabs>
        <w:rPr>
          <w:noProof/>
          <w:sz w:val="28"/>
          <w:szCs w:val="28"/>
        </w:rPr>
      </w:pPr>
      <w:hyperlink w:anchor="_Toc49175041" w:history="1">
        <w:r w:rsidR="009B6087" w:rsidRPr="009B6087">
          <w:rPr>
            <w:rStyle w:val="af"/>
            <w:rFonts w:ascii="仿宋_GB2312" w:eastAsia="仿宋_GB2312" w:hAnsi="华文仿宋" w:cs="Times New Roman"/>
            <w:noProof/>
            <w:sz w:val="28"/>
            <w:szCs w:val="28"/>
          </w:rPr>
          <w:t>6.致癌性试验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_Toc49175041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7</w:t>
        </w:r>
        <w:r w:rsidR="009B6087" w:rsidRPr="009B6087">
          <w:rPr>
            <w:noProof/>
            <w:webHidden/>
            <w:sz w:val="28"/>
            <w:szCs w:val="28"/>
          </w:rPr>
          <w:fldChar w:fldCharType="end"/>
        </w:r>
      </w:hyperlink>
    </w:p>
    <w:p w14:paraId="549FA948" w14:textId="472CF595" w:rsidR="009B6087" w:rsidRPr="009B6087" w:rsidRDefault="00171C99">
      <w:pPr>
        <w:pStyle w:val="3"/>
        <w:tabs>
          <w:tab w:val="right" w:leader="dot" w:pos="8296"/>
        </w:tabs>
        <w:rPr>
          <w:noProof/>
          <w:sz w:val="28"/>
          <w:szCs w:val="28"/>
        </w:rPr>
      </w:pPr>
      <w:hyperlink w:anchor="_Toc49175042" w:history="1">
        <w:r w:rsidR="009B6087" w:rsidRPr="009B6087">
          <w:rPr>
            <w:rStyle w:val="af"/>
            <w:rFonts w:ascii="仿宋_GB2312" w:eastAsia="仿宋_GB2312" w:hAnsi="华文仿宋" w:cs="Times New Roman"/>
            <w:noProof/>
            <w:sz w:val="28"/>
            <w:szCs w:val="28"/>
          </w:rPr>
          <w:t>7.其他安全性试验</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_Toc49175042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7</w:t>
        </w:r>
        <w:r w:rsidR="009B6087" w:rsidRPr="009B6087">
          <w:rPr>
            <w:noProof/>
            <w:webHidden/>
            <w:sz w:val="28"/>
            <w:szCs w:val="28"/>
          </w:rPr>
          <w:fldChar w:fldCharType="end"/>
        </w:r>
      </w:hyperlink>
    </w:p>
    <w:p w14:paraId="0C2E040E" w14:textId="0D02DB36" w:rsidR="009B6087" w:rsidRPr="009B6087" w:rsidRDefault="00171C99">
      <w:pPr>
        <w:pStyle w:val="2"/>
        <w:tabs>
          <w:tab w:val="right" w:leader="dot" w:pos="8296"/>
        </w:tabs>
        <w:rPr>
          <w:noProof/>
          <w:sz w:val="28"/>
          <w:szCs w:val="28"/>
        </w:rPr>
      </w:pPr>
      <w:hyperlink w:anchor="_Toc49175043" w:history="1">
        <w:r w:rsidR="009B6087" w:rsidRPr="009B6087">
          <w:rPr>
            <w:rStyle w:val="af"/>
            <w:rFonts w:ascii="仿宋_GB2312" w:eastAsia="仿宋_GB2312" w:hAnsi="华文仿宋" w:cs="Times New Roman"/>
            <w:noProof/>
            <w:sz w:val="28"/>
            <w:szCs w:val="28"/>
          </w:rPr>
          <w:t>（四）辐射安全性评估</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_Toc49175043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8</w:t>
        </w:r>
        <w:r w:rsidR="009B6087" w:rsidRPr="009B6087">
          <w:rPr>
            <w:noProof/>
            <w:webHidden/>
            <w:sz w:val="28"/>
            <w:szCs w:val="28"/>
          </w:rPr>
          <w:fldChar w:fldCharType="end"/>
        </w:r>
      </w:hyperlink>
    </w:p>
    <w:p w14:paraId="5C5E38D8" w14:textId="3EB307A4" w:rsidR="009B6087" w:rsidRPr="009B6087" w:rsidRDefault="00171C99">
      <w:pPr>
        <w:pStyle w:val="1"/>
        <w:tabs>
          <w:tab w:val="right" w:leader="dot" w:pos="8296"/>
        </w:tabs>
        <w:rPr>
          <w:noProof/>
          <w:sz w:val="28"/>
          <w:szCs w:val="28"/>
        </w:rPr>
      </w:pPr>
      <w:hyperlink w:anchor="_Toc49175044" w:history="1">
        <w:r w:rsidR="009B6087" w:rsidRPr="009B6087">
          <w:rPr>
            <w:rStyle w:val="af"/>
            <w:rFonts w:ascii="黑体" w:eastAsia="黑体" w:hAnsi="黑体" w:cs="Times New Roman"/>
            <w:noProof/>
            <w:sz w:val="28"/>
            <w:szCs w:val="28"/>
          </w:rPr>
          <w:t>参考文献</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_Toc49175044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8</w:t>
        </w:r>
        <w:r w:rsidR="009B6087" w:rsidRPr="009B6087">
          <w:rPr>
            <w:noProof/>
            <w:webHidden/>
            <w:sz w:val="28"/>
            <w:szCs w:val="28"/>
          </w:rPr>
          <w:fldChar w:fldCharType="end"/>
        </w:r>
      </w:hyperlink>
    </w:p>
    <w:p w14:paraId="25B7934F" w14:textId="278A7C6E" w:rsidR="009B6087" w:rsidRDefault="00171C99">
      <w:pPr>
        <w:pStyle w:val="1"/>
        <w:tabs>
          <w:tab w:val="right" w:leader="dot" w:pos="8296"/>
        </w:tabs>
        <w:rPr>
          <w:noProof/>
        </w:rPr>
      </w:pPr>
      <w:hyperlink w:anchor="_Toc49175045" w:history="1">
        <w:r w:rsidR="009B6087" w:rsidRPr="009B6087">
          <w:rPr>
            <w:rStyle w:val="af"/>
            <w:rFonts w:ascii="黑体" w:eastAsia="黑体" w:hAnsi="黑体" w:cs="Times New Roman"/>
            <w:noProof/>
            <w:sz w:val="28"/>
            <w:szCs w:val="28"/>
          </w:rPr>
          <w:t>名词解释</w:t>
        </w:r>
        <w:r w:rsidR="009B6087" w:rsidRPr="009B6087">
          <w:rPr>
            <w:noProof/>
            <w:webHidden/>
            <w:sz w:val="28"/>
            <w:szCs w:val="28"/>
          </w:rPr>
          <w:tab/>
        </w:r>
        <w:r w:rsidR="009B6087" w:rsidRPr="009B6087">
          <w:rPr>
            <w:noProof/>
            <w:webHidden/>
            <w:sz w:val="28"/>
            <w:szCs w:val="28"/>
          </w:rPr>
          <w:fldChar w:fldCharType="begin"/>
        </w:r>
        <w:r w:rsidR="009B6087" w:rsidRPr="009B6087">
          <w:rPr>
            <w:noProof/>
            <w:webHidden/>
            <w:sz w:val="28"/>
            <w:szCs w:val="28"/>
          </w:rPr>
          <w:instrText xml:space="preserve"> PAGEREF _Toc49175045 \h </w:instrText>
        </w:r>
        <w:r w:rsidR="009B6087" w:rsidRPr="009B6087">
          <w:rPr>
            <w:noProof/>
            <w:webHidden/>
            <w:sz w:val="28"/>
            <w:szCs w:val="28"/>
          </w:rPr>
        </w:r>
        <w:r w:rsidR="009B6087" w:rsidRPr="009B6087">
          <w:rPr>
            <w:noProof/>
            <w:webHidden/>
            <w:sz w:val="28"/>
            <w:szCs w:val="28"/>
          </w:rPr>
          <w:fldChar w:fldCharType="separate"/>
        </w:r>
        <w:r w:rsidR="00AF4685">
          <w:rPr>
            <w:noProof/>
            <w:webHidden/>
            <w:sz w:val="28"/>
            <w:szCs w:val="28"/>
          </w:rPr>
          <w:t>9</w:t>
        </w:r>
        <w:r w:rsidR="009B6087" w:rsidRPr="009B6087">
          <w:rPr>
            <w:noProof/>
            <w:webHidden/>
            <w:sz w:val="28"/>
            <w:szCs w:val="28"/>
          </w:rPr>
          <w:fldChar w:fldCharType="end"/>
        </w:r>
      </w:hyperlink>
    </w:p>
    <w:p w14:paraId="6DE79D0F" w14:textId="5A12ECF5" w:rsidR="009C28EE" w:rsidRDefault="00D40C75" w:rsidP="005D68FD">
      <w:pPr>
        <w:spacing w:beforeLines="50" w:before="156" w:line="360" w:lineRule="auto"/>
        <w:rPr>
          <w:rFonts w:ascii="华文仿宋" w:eastAsia="华文仿宋" w:hAnsi="华文仿宋" w:cs="Times New Roman"/>
          <w:sz w:val="22"/>
        </w:rPr>
        <w:sectPr w:rsidR="009C28EE" w:rsidSect="009C28EE">
          <w:pgSz w:w="11906" w:h="16838"/>
          <w:pgMar w:top="1440" w:right="1800" w:bottom="1440" w:left="1800" w:header="851" w:footer="992" w:gutter="0"/>
          <w:cols w:space="425"/>
          <w:titlePg/>
          <w:docGrid w:type="lines" w:linePitch="312"/>
        </w:sectPr>
      </w:pPr>
      <w:r w:rsidRPr="0029363E">
        <w:rPr>
          <w:rFonts w:ascii="华文仿宋" w:eastAsia="华文仿宋" w:hAnsi="华文仿宋" w:cs="Times New Roman"/>
          <w:sz w:val="22"/>
        </w:rPr>
        <w:fldChar w:fldCharType="end"/>
      </w:r>
      <w:bookmarkStart w:id="0" w:name="_Toc46214301"/>
    </w:p>
    <w:p w14:paraId="69813BC3" w14:textId="77777777" w:rsidR="00E61927" w:rsidRPr="00E9542C" w:rsidRDefault="00EB7845" w:rsidP="003C2BAA">
      <w:pPr>
        <w:spacing w:line="360" w:lineRule="auto"/>
        <w:ind w:firstLineChars="200" w:firstLine="640"/>
        <w:outlineLvl w:val="0"/>
        <w:rPr>
          <w:rFonts w:ascii="黑体" w:eastAsia="黑体" w:hAnsi="黑体" w:cs="Times New Roman"/>
          <w:sz w:val="32"/>
          <w:szCs w:val="32"/>
        </w:rPr>
      </w:pPr>
      <w:bookmarkStart w:id="1" w:name="_Toc49175026"/>
      <w:r w:rsidRPr="00E9542C">
        <w:rPr>
          <w:rFonts w:ascii="黑体" w:eastAsia="黑体" w:hAnsi="黑体" w:cs="Times New Roman" w:hint="eastAsia"/>
          <w:sz w:val="32"/>
          <w:szCs w:val="32"/>
        </w:rPr>
        <w:lastRenderedPageBreak/>
        <w:t>一、概述</w:t>
      </w:r>
      <w:bookmarkEnd w:id="0"/>
      <w:bookmarkEnd w:id="1"/>
    </w:p>
    <w:p w14:paraId="1DDE96A9" w14:textId="11E74DBB" w:rsidR="00E61927" w:rsidRPr="00EE628C" w:rsidRDefault="00EB7845"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放射性体内诊断药物（</w:t>
      </w:r>
      <w:r w:rsidRPr="00237FF0">
        <w:rPr>
          <w:rFonts w:ascii="仿宋_GB2312" w:eastAsia="仿宋_GB2312" w:hAnsi="华文仿宋" w:cs="Times New Roman" w:hint="eastAsia"/>
          <w:spacing w:val="-14"/>
          <w:sz w:val="32"/>
          <w:szCs w:val="32"/>
        </w:rPr>
        <w:t>diagnostic radiopharmaceuticals</w:t>
      </w:r>
      <w:r w:rsidR="00E9542C">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以下简称放诊药物）是用于获得体内靶器官或病变组织的影像或功能参数，进行疾病诊断的一类体内放射性药物，可用于体检筛查、疾病诊断和器官结构/功能评估。</w:t>
      </w:r>
    </w:p>
    <w:p w14:paraId="263A7833" w14:textId="77777777" w:rsidR="00D81117" w:rsidRDefault="00C94D4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放诊药物</w:t>
      </w:r>
      <w:r w:rsidR="00EB7845" w:rsidRPr="00EE628C">
        <w:rPr>
          <w:rFonts w:ascii="仿宋_GB2312" w:eastAsia="仿宋_GB2312" w:hAnsi="华文仿宋" w:cs="Times New Roman" w:hint="eastAsia"/>
          <w:sz w:val="32"/>
          <w:szCs w:val="32"/>
        </w:rPr>
        <w:t>一般由两部分组成：放射性核素</w:t>
      </w:r>
      <w:r w:rsidR="00B8036E" w:rsidRPr="00EE628C">
        <w:rPr>
          <w:rFonts w:ascii="仿宋_GB2312" w:eastAsia="仿宋_GB2312" w:hAnsi="华文仿宋" w:cs="Times New Roman" w:hint="eastAsia"/>
          <w:sz w:val="32"/>
          <w:szCs w:val="32"/>
        </w:rPr>
        <w:t>和非放射性部分，其中非放射性部分是</w:t>
      </w:r>
      <w:r w:rsidR="00724BC7" w:rsidRPr="00EE628C">
        <w:rPr>
          <w:rFonts w:ascii="仿宋_GB2312" w:eastAsia="仿宋_GB2312" w:hAnsi="华文仿宋" w:cs="Times New Roman" w:hint="eastAsia"/>
          <w:sz w:val="32"/>
          <w:szCs w:val="32"/>
        </w:rPr>
        <w:t>与放射性核素结合并</w:t>
      </w:r>
      <w:r w:rsidR="00B8036E" w:rsidRPr="00EE628C">
        <w:rPr>
          <w:rFonts w:ascii="仿宋_GB2312" w:eastAsia="仿宋_GB2312" w:hAnsi="华文仿宋" w:cs="Times New Roman" w:hint="eastAsia"/>
          <w:sz w:val="32"/>
          <w:szCs w:val="32"/>
        </w:rPr>
        <w:t>将</w:t>
      </w:r>
      <w:r w:rsidR="00724BC7" w:rsidRPr="00EE628C">
        <w:rPr>
          <w:rFonts w:ascii="仿宋_GB2312" w:eastAsia="仿宋_GB2312" w:hAnsi="华文仿宋" w:cs="Times New Roman" w:hint="eastAsia"/>
          <w:sz w:val="32"/>
          <w:szCs w:val="32"/>
        </w:rPr>
        <w:t>其</w:t>
      </w:r>
      <w:r w:rsidR="00B8036E" w:rsidRPr="00EE628C">
        <w:rPr>
          <w:rFonts w:ascii="仿宋_GB2312" w:eastAsia="仿宋_GB2312" w:hAnsi="华文仿宋" w:cs="Times New Roman" w:hint="eastAsia"/>
          <w:sz w:val="32"/>
          <w:szCs w:val="32"/>
        </w:rPr>
        <w:t>递送至</w:t>
      </w:r>
      <w:r w:rsidR="00724BC7" w:rsidRPr="00EE628C">
        <w:rPr>
          <w:rFonts w:ascii="仿宋_GB2312" w:eastAsia="仿宋_GB2312" w:hAnsi="华文仿宋" w:cs="Times New Roman" w:hint="eastAsia"/>
          <w:sz w:val="32"/>
          <w:szCs w:val="32"/>
        </w:rPr>
        <w:t>体内特定部位的配体或载体。</w:t>
      </w:r>
      <w:r w:rsidR="00EB7845" w:rsidRPr="00EE628C">
        <w:rPr>
          <w:rFonts w:ascii="仿宋_GB2312" w:eastAsia="仿宋_GB2312" w:hAnsi="华文仿宋" w:cs="Times New Roman" w:hint="eastAsia"/>
          <w:sz w:val="32"/>
          <w:szCs w:val="32"/>
        </w:rPr>
        <w:t>放射性核素</w:t>
      </w:r>
      <w:r w:rsidR="0015390E" w:rsidRPr="00EE628C">
        <w:rPr>
          <w:rFonts w:ascii="仿宋_GB2312" w:eastAsia="仿宋_GB2312" w:hAnsi="华文仿宋" w:cs="Times New Roman" w:hint="eastAsia"/>
          <w:sz w:val="32"/>
          <w:szCs w:val="32"/>
        </w:rPr>
        <w:t>为</w:t>
      </w:r>
      <w:r w:rsidR="0038260D" w:rsidRPr="00EE628C">
        <w:rPr>
          <w:rFonts w:ascii="仿宋_GB2312" w:eastAsia="仿宋_GB2312" w:hAnsi="华文仿宋" w:cs="Times New Roman" w:hint="eastAsia"/>
          <w:sz w:val="32"/>
          <w:szCs w:val="32"/>
        </w:rPr>
        <w:t>能自发地放出射线（如α、β、γ射线）的</w:t>
      </w:r>
      <w:r w:rsidR="005C25F8" w:rsidRPr="00EE628C">
        <w:rPr>
          <w:rFonts w:ascii="仿宋_GB2312" w:eastAsia="仿宋_GB2312" w:hAnsi="华文仿宋" w:cs="Times New Roman" w:hint="eastAsia"/>
          <w:sz w:val="32"/>
          <w:szCs w:val="32"/>
        </w:rPr>
        <w:t>不稳定核素，</w:t>
      </w:r>
      <w:r w:rsidR="0038260D" w:rsidRPr="00EE628C">
        <w:rPr>
          <w:rFonts w:ascii="仿宋_GB2312" w:eastAsia="仿宋_GB2312" w:hAnsi="华文仿宋" w:cs="Times New Roman" w:hint="eastAsia"/>
          <w:sz w:val="32"/>
          <w:szCs w:val="32"/>
        </w:rPr>
        <w:t>其发射的粒子（如正电子）或光子可被体外专用探测器检测到。</w:t>
      </w:r>
      <w:r w:rsidR="004A3C96" w:rsidRPr="00EE628C">
        <w:rPr>
          <w:rFonts w:ascii="仿宋_GB2312" w:eastAsia="仿宋_GB2312" w:hAnsi="华文仿宋" w:cs="Times New Roman" w:hint="eastAsia"/>
          <w:sz w:val="32"/>
          <w:szCs w:val="32"/>
        </w:rPr>
        <w:t>非放射性</w:t>
      </w:r>
      <w:r w:rsidR="002061D1" w:rsidRPr="00EE628C">
        <w:rPr>
          <w:rFonts w:ascii="仿宋_GB2312" w:eastAsia="仿宋_GB2312" w:hAnsi="华文仿宋" w:cs="Times New Roman" w:hint="eastAsia"/>
          <w:sz w:val="32"/>
          <w:szCs w:val="32"/>
        </w:rPr>
        <w:t>部分</w:t>
      </w:r>
      <w:r w:rsidR="005C25F8" w:rsidRPr="00EE628C">
        <w:rPr>
          <w:rFonts w:ascii="仿宋_GB2312" w:eastAsia="仿宋_GB2312" w:hAnsi="华文仿宋" w:cs="Times New Roman" w:hint="eastAsia"/>
          <w:sz w:val="32"/>
          <w:szCs w:val="32"/>
        </w:rPr>
        <w:t>通常为有机分子</w:t>
      </w:r>
      <w:r w:rsidR="001013B4" w:rsidRPr="00EE628C">
        <w:rPr>
          <w:rFonts w:ascii="仿宋_GB2312" w:eastAsia="仿宋_GB2312" w:hAnsi="华文仿宋" w:cs="Times New Roman" w:hint="eastAsia"/>
          <w:sz w:val="32"/>
          <w:szCs w:val="32"/>
        </w:rPr>
        <w:t>，例</w:t>
      </w:r>
      <w:r w:rsidR="00EB7845" w:rsidRPr="00EE628C">
        <w:rPr>
          <w:rFonts w:ascii="仿宋_GB2312" w:eastAsia="仿宋_GB2312" w:hAnsi="华文仿宋" w:cs="Times New Roman" w:hint="eastAsia"/>
          <w:sz w:val="32"/>
          <w:szCs w:val="32"/>
        </w:rPr>
        <w:t>如碳水化合物、酯类、核酸、肽、抗体等。</w:t>
      </w:r>
    </w:p>
    <w:p w14:paraId="7F469DAB" w14:textId="4E5ECF10" w:rsidR="00E61927" w:rsidRPr="00EE628C" w:rsidRDefault="007C02CE"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在本指导原则中，将</w:t>
      </w:r>
      <w:r w:rsidR="004B13B8" w:rsidRPr="00EE628C">
        <w:rPr>
          <w:rFonts w:ascii="仿宋_GB2312" w:eastAsia="仿宋_GB2312" w:hAnsi="华文仿宋" w:cs="Times New Roman" w:hint="eastAsia"/>
          <w:sz w:val="32"/>
          <w:szCs w:val="32"/>
        </w:rPr>
        <w:t>放诊药物</w:t>
      </w:r>
      <w:r w:rsidR="00CE557A" w:rsidRPr="00EE628C">
        <w:rPr>
          <w:rFonts w:ascii="仿宋_GB2312" w:eastAsia="仿宋_GB2312" w:hAnsi="华文仿宋" w:cs="Times New Roman" w:hint="eastAsia"/>
          <w:sz w:val="32"/>
          <w:szCs w:val="32"/>
        </w:rPr>
        <w:t>终产品制剂</w:t>
      </w:r>
      <w:r w:rsidR="004B13B8" w:rsidRPr="00EE628C">
        <w:rPr>
          <w:rFonts w:ascii="仿宋_GB2312" w:eastAsia="仿宋_GB2312" w:hAnsi="华文仿宋" w:cs="Times New Roman" w:hint="eastAsia"/>
          <w:sz w:val="32"/>
          <w:szCs w:val="32"/>
        </w:rPr>
        <w:t>中除了发挥显像功能的活性分子</w:t>
      </w:r>
      <w:r w:rsidR="00820599" w:rsidRPr="00EE628C">
        <w:rPr>
          <w:rFonts w:ascii="仿宋_GB2312" w:eastAsia="仿宋_GB2312" w:hAnsi="华文仿宋" w:cs="Times New Roman" w:hint="eastAsia"/>
          <w:sz w:val="32"/>
          <w:szCs w:val="32"/>
        </w:rPr>
        <w:t>外的其他非放射性成分统称为非放射性组分，非放射性组分通常包括</w:t>
      </w:r>
      <w:r w:rsidR="004B13B8" w:rsidRPr="00EE628C">
        <w:rPr>
          <w:rFonts w:ascii="仿宋_GB2312" w:eastAsia="仿宋_GB2312" w:hAnsi="华文仿宋" w:cs="Times New Roman" w:hint="eastAsia"/>
          <w:sz w:val="32"/>
          <w:szCs w:val="32"/>
        </w:rPr>
        <w:t>未标记的配体</w:t>
      </w:r>
      <w:r w:rsidRPr="00EE628C">
        <w:rPr>
          <w:rFonts w:ascii="仿宋_GB2312" w:eastAsia="仿宋_GB2312" w:hAnsi="华文仿宋" w:cs="Times New Roman" w:hint="eastAsia"/>
          <w:sz w:val="32"/>
          <w:szCs w:val="32"/>
        </w:rPr>
        <w:t>或载体</w:t>
      </w:r>
      <w:r w:rsidR="004B13B8" w:rsidRPr="00EE628C">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稳定同位素标记的配体或载体、活性分子经衰变后的产物</w:t>
      </w:r>
      <w:r w:rsidR="00BB118C" w:rsidRPr="00EE628C">
        <w:rPr>
          <w:rFonts w:ascii="仿宋_GB2312" w:eastAsia="仿宋_GB2312" w:hAnsi="华文仿宋" w:cs="Times New Roman" w:hint="eastAsia"/>
          <w:sz w:val="32"/>
          <w:szCs w:val="32"/>
        </w:rPr>
        <w:t>、辅料、还原剂、稳定剂、抗氧化剂、杂质、残留溶剂等。</w:t>
      </w:r>
    </w:p>
    <w:p w14:paraId="531BA5E0" w14:textId="77777777" w:rsidR="00E61927" w:rsidRPr="00EE628C" w:rsidRDefault="00EB7845"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随着分子生物学、病理生理学、药学、核医学等各学科的发展，放诊药物的研发进入快速发展阶段</w:t>
      </w:r>
      <w:r w:rsidR="00772D8E" w:rsidRPr="0071698C">
        <w:rPr>
          <w:rFonts w:ascii="仿宋_GB2312" w:eastAsia="仿宋_GB2312" w:hAnsi="华文仿宋" w:cs="Times New Roman" w:hint="eastAsia"/>
          <w:sz w:val="32"/>
          <w:szCs w:val="32"/>
        </w:rPr>
        <w:t>。</w:t>
      </w:r>
      <w:r w:rsidRPr="0071698C">
        <w:rPr>
          <w:rFonts w:ascii="仿宋_GB2312" w:eastAsia="仿宋_GB2312" w:hAnsi="华文仿宋" w:cs="Times New Roman" w:hint="eastAsia"/>
          <w:sz w:val="32"/>
          <w:szCs w:val="32"/>
        </w:rPr>
        <w:t>为促进我国放诊药物的研发，特制订本指导原则。</w:t>
      </w:r>
    </w:p>
    <w:p w14:paraId="66B76CD9" w14:textId="77777777" w:rsidR="00E61927" w:rsidRPr="00EE628C" w:rsidRDefault="00EB7845"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本指导原则适用于</w:t>
      </w:r>
      <w:r w:rsidR="00F45609" w:rsidRPr="00EE628C">
        <w:rPr>
          <w:rFonts w:ascii="仿宋_GB2312" w:eastAsia="仿宋_GB2312" w:hAnsi="华文仿宋" w:cs="Times New Roman" w:hint="eastAsia"/>
          <w:sz w:val="32"/>
          <w:szCs w:val="32"/>
        </w:rPr>
        <w:t>平面显像、</w:t>
      </w:r>
      <w:r w:rsidRPr="00EE628C">
        <w:rPr>
          <w:rFonts w:ascii="仿宋_GB2312" w:eastAsia="仿宋_GB2312" w:hAnsi="华文仿宋" w:cs="Times New Roman" w:hint="eastAsia"/>
          <w:sz w:val="32"/>
          <w:szCs w:val="32"/>
        </w:rPr>
        <w:t>单光子发射计算机断层扫描</w:t>
      </w:r>
      <w:r w:rsidR="00772D8E" w:rsidRPr="00EE628C">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SPECT）、正电子发射断层扫描（PET）等核医学操作中使用的放诊药物，主要针对放诊药物在</w:t>
      </w:r>
      <w:r w:rsidR="00316077" w:rsidRPr="00EE628C">
        <w:rPr>
          <w:rFonts w:ascii="仿宋_GB2312" w:eastAsia="仿宋_GB2312" w:hAnsi="华文仿宋" w:cs="Times New Roman" w:hint="eastAsia"/>
          <w:sz w:val="32"/>
          <w:szCs w:val="32"/>
        </w:rPr>
        <w:t>非</w:t>
      </w:r>
      <w:r w:rsidRPr="00EE628C">
        <w:rPr>
          <w:rFonts w:ascii="仿宋_GB2312" w:eastAsia="仿宋_GB2312" w:hAnsi="华文仿宋" w:cs="Times New Roman" w:hint="eastAsia"/>
          <w:sz w:val="32"/>
          <w:szCs w:val="32"/>
        </w:rPr>
        <w:t>临床</w:t>
      </w:r>
      <w:r w:rsidR="00772D8E" w:rsidRPr="00EE628C">
        <w:rPr>
          <w:rFonts w:ascii="仿宋_GB2312" w:eastAsia="仿宋_GB2312" w:hAnsi="华文仿宋" w:cs="Times New Roman" w:hint="eastAsia"/>
          <w:sz w:val="32"/>
          <w:szCs w:val="32"/>
        </w:rPr>
        <w:t>研究</w:t>
      </w:r>
      <w:r w:rsidRPr="00EE628C">
        <w:rPr>
          <w:rFonts w:ascii="仿宋_GB2312" w:eastAsia="仿宋_GB2312" w:hAnsi="华文仿宋" w:cs="Times New Roman" w:hint="eastAsia"/>
          <w:sz w:val="32"/>
          <w:szCs w:val="32"/>
        </w:rPr>
        <w:t>中的关注</w:t>
      </w:r>
      <w:r w:rsidRPr="00EE628C">
        <w:rPr>
          <w:rFonts w:ascii="仿宋_GB2312" w:eastAsia="仿宋_GB2312" w:hAnsi="华文仿宋" w:cs="Times New Roman" w:hint="eastAsia"/>
          <w:sz w:val="32"/>
          <w:szCs w:val="32"/>
        </w:rPr>
        <w:lastRenderedPageBreak/>
        <w:t>点进行说明。</w:t>
      </w:r>
    </w:p>
    <w:p w14:paraId="25D79EF2" w14:textId="77777777" w:rsidR="00E61927" w:rsidRPr="00EE628C" w:rsidRDefault="00EB7845"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本指导原则仅代表药品监管部门当前的观点和认识，不具有强制性的法律约束力。随着新技术的</w:t>
      </w:r>
      <w:r w:rsidR="00316077" w:rsidRPr="00EE628C">
        <w:rPr>
          <w:rFonts w:ascii="仿宋_GB2312" w:eastAsia="仿宋_GB2312" w:hAnsi="华文仿宋" w:cs="Times New Roman" w:hint="eastAsia"/>
          <w:sz w:val="32"/>
          <w:szCs w:val="32"/>
        </w:rPr>
        <w:t>发展</w:t>
      </w:r>
      <w:r w:rsidRPr="00EE628C">
        <w:rPr>
          <w:rFonts w:ascii="仿宋_GB2312" w:eastAsia="仿宋_GB2312" w:hAnsi="华文仿宋" w:cs="Times New Roman" w:hint="eastAsia"/>
          <w:sz w:val="32"/>
          <w:szCs w:val="32"/>
        </w:rPr>
        <w:t>，本指导原则中的相关内容将不断完善与更新。</w:t>
      </w:r>
    </w:p>
    <w:p w14:paraId="5BF962C9" w14:textId="77777777" w:rsidR="00E61927" w:rsidRPr="00E9542C" w:rsidRDefault="00316077" w:rsidP="00E9542C">
      <w:pPr>
        <w:spacing w:line="360" w:lineRule="auto"/>
        <w:ind w:firstLineChars="200" w:firstLine="640"/>
        <w:outlineLvl w:val="0"/>
        <w:rPr>
          <w:rFonts w:ascii="黑体" w:eastAsia="黑体" w:hAnsi="黑体" w:cs="Times New Roman"/>
          <w:sz w:val="32"/>
          <w:szCs w:val="32"/>
        </w:rPr>
      </w:pPr>
      <w:bookmarkStart w:id="2" w:name="_Toc46214302"/>
      <w:bookmarkStart w:id="3" w:name="_Toc49175027"/>
      <w:r w:rsidRPr="00E9542C">
        <w:rPr>
          <w:rFonts w:ascii="黑体" w:eastAsia="黑体" w:hAnsi="黑体" w:cs="Times New Roman" w:hint="eastAsia"/>
          <w:sz w:val="32"/>
          <w:szCs w:val="32"/>
        </w:rPr>
        <w:t>二、</w:t>
      </w:r>
      <w:r w:rsidR="00234FD8" w:rsidRPr="00E9542C">
        <w:rPr>
          <w:rFonts w:ascii="黑体" w:eastAsia="黑体" w:hAnsi="黑体" w:cs="Times New Roman" w:hint="eastAsia"/>
          <w:sz w:val="32"/>
          <w:szCs w:val="32"/>
        </w:rPr>
        <w:t>总体原则</w:t>
      </w:r>
      <w:bookmarkEnd w:id="2"/>
      <w:bookmarkEnd w:id="3"/>
    </w:p>
    <w:p w14:paraId="094F8DB1" w14:textId="77777777" w:rsidR="00E61927" w:rsidRPr="00EE628C" w:rsidRDefault="0065710D" w:rsidP="00E9542C">
      <w:pPr>
        <w:spacing w:line="360" w:lineRule="auto"/>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放诊药物的非临床研究</w:t>
      </w:r>
      <w:r w:rsidR="00F8272C" w:rsidRPr="00EE628C">
        <w:rPr>
          <w:rFonts w:ascii="仿宋_GB2312" w:eastAsia="仿宋_GB2312" w:hAnsi="华文仿宋" w:cs="Times New Roman" w:hint="eastAsia"/>
          <w:sz w:val="32"/>
          <w:szCs w:val="32"/>
        </w:rPr>
        <w:t>的目的是为拟开展的临床试验或上市提供有效性及安全性的支持数据。</w:t>
      </w:r>
    </w:p>
    <w:p w14:paraId="4BFB7C84" w14:textId="38F1C97F" w:rsidR="00E61927" w:rsidRPr="00EE628C" w:rsidRDefault="00A0371E"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与常规</w:t>
      </w:r>
      <w:r w:rsidR="00D84CEF" w:rsidRPr="00EE628C">
        <w:rPr>
          <w:rFonts w:ascii="仿宋_GB2312" w:eastAsia="仿宋_GB2312" w:hAnsi="华文仿宋" w:cs="Times New Roman" w:hint="eastAsia"/>
          <w:sz w:val="32"/>
          <w:szCs w:val="32"/>
        </w:rPr>
        <w:t>治疗</w:t>
      </w:r>
      <w:r w:rsidRPr="00EE628C">
        <w:rPr>
          <w:rFonts w:ascii="仿宋_GB2312" w:eastAsia="仿宋_GB2312" w:hAnsi="华文仿宋" w:cs="Times New Roman" w:hint="eastAsia"/>
          <w:sz w:val="32"/>
          <w:szCs w:val="32"/>
        </w:rPr>
        <w:t>药物相比，放诊药物具有其特殊性，包括：</w:t>
      </w:r>
      <w:r w:rsidR="00D84CEF" w:rsidRPr="00EE628C">
        <w:rPr>
          <w:rFonts w:ascii="仿宋_GB2312" w:eastAsia="仿宋_GB2312" w:hAnsi="华文仿宋" w:cs="Times New Roman" w:hint="eastAsia"/>
          <w:sz w:val="32"/>
          <w:szCs w:val="32"/>
        </w:rPr>
        <w:t>诊断功能、放射性、</w:t>
      </w:r>
      <w:r w:rsidRPr="00EE628C">
        <w:rPr>
          <w:rFonts w:ascii="仿宋_GB2312" w:eastAsia="仿宋_GB2312" w:hAnsi="华文仿宋" w:cs="Times New Roman" w:hint="eastAsia"/>
          <w:sz w:val="32"/>
          <w:szCs w:val="32"/>
        </w:rPr>
        <w:t>即时制备、因放射性核素衰变导致产品的化学组成成分及质量占比随时间改变、临床用药的质量剂量低及用药次数少、辐射损伤等。</w:t>
      </w:r>
      <w:r w:rsidR="00D22E81" w:rsidRPr="00EE628C">
        <w:rPr>
          <w:rFonts w:ascii="仿宋_GB2312" w:eastAsia="仿宋_GB2312" w:hAnsi="华文仿宋" w:cs="Times New Roman" w:hint="eastAsia"/>
          <w:sz w:val="32"/>
          <w:szCs w:val="32"/>
        </w:rPr>
        <w:t>放诊药物的</w:t>
      </w:r>
      <w:r w:rsidR="00234FD8" w:rsidRPr="00EE628C">
        <w:rPr>
          <w:rFonts w:ascii="仿宋_GB2312" w:eastAsia="仿宋_GB2312" w:hAnsi="华文仿宋" w:cs="Times New Roman" w:hint="eastAsia"/>
          <w:sz w:val="32"/>
          <w:szCs w:val="32"/>
        </w:rPr>
        <w:t>非临床</w:t>
      </w:r>
      <w:r w:rsidR="00AF4685">
        <w:rPr>
          <w:rFonts w:ascii="仿宋_GB2312" w:eastAsia="仿宋_GB2312" w:hAnsi="华文仿宋" w:cs="Times New Roman" w:hint="eastAsia"/>
          <w:sz w:val="32"/>
          <w:szCs w:val="32"/>
        </w:rPr>
        <w:t>研究</w:t>
      </w:r>
      <w:r w:rsidR="00EC0B88" w:rsidRPr="00EE628C">
        <w:rPr>
          <w:rFonts w:ascii="仿宋_GB2312" w:eastAsia="仿宋_GB2312" w:hAnsi="华文仿宋" w:cs="Times New Roman" w:hint="eastAsia"/>
          <w:sz w:val="32"/>
          <w:szCs w:val="32"/>
        </w:rPr>
        <w:t>，</w:t>
      </w:r>
      <w:r w:rsidR="00E61927" w:rsidRPr="00EE628C">
        <w:rPr>
          <w:rFonts w:ascii="仿宋_GB2312" w:eastAsia="仿宋_GB2312" w:hAnsi="华文仿宋" w:cs="Times New Roman" w:hint="eastAsia"/>
          <w:sz w:val="32"/>
          <w:szCs w:val="32"/>
        </w:rPr>
        <w:t>应</w:t>
      </w:r>
      <w:r w:rsidR="00EC0B88" w:rsidRPr="00EE628C">
        <w:rPr>
          <w:rFonts w:ascii="仿宋_GB2312" w:eastAsia="仿宋_GB2312" w:hAnsi="华文仿宋" w:cs="Times New Roman" w:hint="eastAsia"/>
          <w:sz w:val="32"/>
          <w:szCs w:val="32"/>
        </w:rPr>
        <w:t>遵循</w:t>
      </w:r>
      <w:r w:rsidR="00234FD8" w:rsidRPr="00EE628C">
        <w:rPr>
          <w:rFonts w:ascii="仿宋_GB2312" w:eastAsia="仿宋_GB2312" w:hAnsi="华文仿宋" w:cs="Times New Roman" w:hint="eastAsia"/>
          <w:sz w:val="32"/>
          <w:szCs w:val="32"/>
        </w:rPr>
        <w:t>科学、合理</w:t>
      </w:r>
      <w:r w:rsidR="00EC0B88" w:rsidRPr="00EE628C">
        <w:rPr>
          <w:rFonts w:ascii="仿宋_GB2312" w:eastAsia="仿宋_GB2312" w:hAnsi="华文仿宋" w:cs="Times New Roman" w:hint="eastAsia"/>
          <w:sz w:val="32"/>
          <w:szCs w:val="32"/>
        </w:rPr>
        <w:t>、具体问题具体分析的原则</w:t>
      </w:r>
      <w:r w:rsidR="00BF45DA" w:rsidRPr="00EE628C">
        <w:rPr>
          <w:rFonts w:ascii="仿宋_GB2312" w:eastAsia="仿宋_GB2312" w:hAnsi="华文仿宋" w:cs="Times New Roman" w:hint="eastAsia"/>
          <w:sz w:val="32"/>
          <w:szCs w:val="32"/>
        </w:rPr>
        <w:t>。</w:t>
      </w:r>
      <w:r w:rsidR="00234FD8" w:rsidRPr="00EE628C">
        <w:rPr>
          <w:rFonts w:ascii="仿宋_GB2312" w:eastAsia="仿宋_GB2312" w:hAnsi="华文仿宋" w:cs="Times New Roman" w:hint="eastAsia"/>
          <w:sz w:val="32"/>
          <w:szCs w:val="32"/>
        </w:rPr>
        <w:t>应考虑：临床拟用信息，如适应症、使用剂量、给药途径、给药频率、给药期限、目标人群等；受试物的特性，如药物组成、代谢产物、杂质、生物半衰期、放射性衰变产物等；</w:t>
      </w:r>
      <w:r w:rsidR="00413BEF" w:rsidRPr="00EE628C">
        <w:rPr>
          <w:rFonts w:ascii="仿宋_GB2312" w:eastAsia="仿宋_GB2312" w:hAnsi="华文仿宋" w:cs="Times New Roman" w:hint="eastAsia"/>
          <w:sz w:val="32"/>
          <w:szCs w:val="32"/>
        </w:rPr>
        <w:t>配体</w:t>
      </w:r>
      <w:r w:rsidR="00234FD8" w:rsidRPr="00EE628C">
        <w:rPr>
          <w:rFonts w:ascii="仿宋_GB2312" w:eastAsia="仿宋_GB2312" w:hAnsi="华文仿宋" w:cs="Times New Roman" w:hint="eastAsia"/>
          <w:sz w:val="32"/>
          <w:szCs w:val="32"/>
        </w:rPr>
        <w:t>或</w:t>
      </w:r>
      <w:r w:rsidR="00413BEF" w:rsidRPr="00EE628C">
        <w:rPr>
          <w:rFonts w:ascii="仿宋_GB2312" w:eastAsia="仿宋_GB2312" w:hAnsi="华文仿宋" w:cs="Times New Roman" w:hint="eastAsia"/>
          <w:sz w:val="32"/>
          <w:szCs w:val="32"/>
        </w:rPr>
        <w:t>载体</w:t>
      </w:r>
      <w:r w:rsidR="00234FD8" w:rsidRPr="00EE628C">
        <w:rPr>
          <w:rFonts w:ascii="仿宋_GB2312" w:eastAsia="仿宋_GB2312" w:hAnsi="华文仿宋" w:cs="Times New Roman" w:hint="eastAsia"/>
          <w:sz w:val="32"/>
          <w:szCs w:val="32"/>
        </w:rPr>
        <w:t>部分的药理学活性和毒理学特征；辐射</w:t>
      </w:r>
      <w:r w:rsidR="008A6F61" w:rsidRPr="00EE628C">
        <w:rPr>
          <w:rFonts w:ascii="仿宋_GB2312" w:eastAsia="仿宋_GB2312" w:hAnsi="华文仿宋" w:cs="Times New Roman" w:hint="eastAsia"/>
          <w:sz w:val="32"/>
          <w:szCs w:val="32"/>
        </w:rPr>
        <w:t>安全性</w:t>
      </w:r>
      <w:r w:rsidR="00234FD8" w:rsidRPr="00EE628C">
        <w:rPr>
          <w:rFonts w:ascii="仿宋_GB2312" w:eastAsia="仿宋_GB2312" w:hAnsi="华文仿宋" w:cs="Times New Roman" w:hint="eastAsia"/>
          <w:sz w:val="32"/>
          <w:szCs w:val="32"/>
        </w:rPr>
        <w:t>等。</w:t>
      </w:r>
      <w:r w:rsidR="00A97BD3">
        <w:rPr>
          <w:rFonts w:ascii="仿宋_GB2312" w:eastAsia="仿宋_GB2312" w:hAnsi="华文仿宋" w:cs="Times New Roman" w:hint="eastAsia"/>
          <w:sz w:val="32"/>
          <w:szCs w:val="32"/>
        </w:rPr>
        <w:t>放诊药物的非临床研究应包含药效学、药代动力学、毒理学及辐射安全性评估等方面内容</w:t>
      </w:r>
      <w:r w:rsidR="009233E8" w:rsidRPr="00EE628C">
        <w:rPr>
          <w:rFonts w:ascii="仿宋_GB2312" w:eastAsia="仿宋_GB2312" w:hAnsi="华文仿宋" w:cs="Times New Roman" w:hint="eastAsia"/>
          <w:sz w:val="32"/>
          <w:szCs w:val="32"/>
        </w:rPr>
        <w:t>，</w:t>
      </w:r>
      <w:r w:rsidR="00AA4652" w:rsidRPr="00EE628C">
        <w:rPr>
          <w:rFonts w:ascii="仿宋_GB2312" w:eastAsia="仿宋_GB2312" w:hAnsi="华文仿宋" w:cs="Times New Roman" w:hint="eastAsia"/>
          <w:sz w:val="32"/>
          <w:szCs w:val="32"/>
        </w:rPr>
        <w:t>如果拟不进行某项研究，应提供充分合理的依据。</w:t>
      </w:r>
    </w:p>
    <w:p w14:paraId="09E4BD28" w14:textId="77777777" w:rsidR="003D1D89"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4" w:name="_Toc46214303"/>
      <w:bookmarkStart w:id="5" w:name="_Toc49175028"/>
      <w:r w:rsidRPr="00E9542C">
        <w:rPr>
          <w:rFonts w:ascii="仿宋_GB2312" w:eastAsia="仿宋_GB2312" w:hAnsi="华文仿宋" w:cs="Times New Roman" w:hint="eastAsia"/>
          <w:sz w:val="32"/>
          <w:szCs w:val="32"/>
        </w:rPr>
        <w:t>（一）</w:t>
      </w:r>
      <w:r w:rsidR="00F8272C" w:rsidRPr="00E9542C">
        <w:rPr>
          <w:rFonts w:ascii="仿宋_GB2312" w:eastAsia="仿宋_GB2312" w:hAnsi="华文仿宋" w:cs="Times New Roman" w:hint="eastAsia"/>
          <w:sz w:val="32"/>
          <w:szCs w:val="32"/>
        </w:rPr>
        <w:t>受试物</w:t>
      </w:r>
      <w:bookmarkEnd w:id="4"/>
      <w:bookmarkEnd w:id="5"/>
    </w:p>
    <w:p w14:paraId="27395BE8" w14:textId="77777777" w:rsidR="00F30F24" w:rsidRPr="00EE628C" w:rsidRDefault="00C0583F" w:rsidP="00E9542C">
      <w:pPr>
        <w:autoSpaceDE w:val="0"/>
        <w:autoSpaceDN w:val="0"/>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受试物应采用工艺相对稳定、纯度和杂质含量能反映临床试验拟用样品和/或上市样品质量和安全性的样品，否则</w:t>
      </w:r>
      <w:r w:rsidRPr="00EE628C">
        <w:rPr>
          <w:rFonts w:ascii="仿宋_GB2312" w:eastAsia="仿宋_GB2312" w:hAnsi="华文仿宋" w:cs="Times New Roman" w:hint="eastAsia"/>
          <w:sz w:val="32"/>
          <w:szCs w:val="32"/>
        </w:rPr>
        <w:lastRenderedPageBreak/>
        <w:t>应有充分的理由。应注明受试物的名称、来源、批号、质量含量（或质量规格）、放射性活度范围、</w:t>
      </w:r>
      <w:r w:rsidR="00BB700A" w:rsidRPr="00EE628C">
        <w:rPr>
          <w:rFonts w:ascii="仿宋_GB2312" w:eastAsia="仿宋_GB2312" w:hAnsi="华文仿宋" w:cs="Times New Roman" w:hint="eastAsia"/>
          <w:sz w:val="32"/>
          <w:szCs w:val="32"/>
        </w:rPr>
        <w:t>化学纯度、</w:t>
      </w:r>
      <w:r w:rsidR="0000580F" w:rsidRPr="00EE628C">
        <w:rPr>
          <w:rFonts w:ascii="仿宋_GB2312" w:eastAsia="仿宋_GB2312" w:hAnsi="华文仿宋" w:cs="Times New Roman" w:hint="eastAsia"/>
          <w:sz w:val="32"/>
          <w:szCs w:val="32"/>
        </w:rPr>
        <w:t>放射</w:t>
      </w:r>
      <w:r w:rsidRPr="00EE628C">
        <w:rPr>
          <w:rFonts w:ascii="仿宋_GB2312" w:eastAsia="仿宋_GB2312" w:hAnsi="华文仿宋" w:cs="Times New Roman" w:hint="eastAsia"/>
          <w:sz w:val="32"/>
          <w:szCs w:val="32"/>
        </w:rPr>
        <w:t>化学纯度、保存条件、有效期及配制方法等，并提供质量检验报告。放诊药物通常为给药前即时制备，</w:t>
      </w:r>
      <w:r w:rsidR="00ED31F5" w:rsidRPr="00EE628C">
        <w:rPr>
          <w:rFonts w:ascii="仿宋_GB2312" w:eastAsia="仿宋_GB2312" w:hAnsi="华文仿宋" w:cs="Times New Roman" w:hint="eastAsia"/>
          <w:sz w:val="32"/>
          <w:szCs w:val="32"/>
        </w:rPr>
        <w:t>应根据放射性核素的衰变规律</w:t>
      </w:r>
      <w:r w:rsidRPr="00EE628C">
        <w:rPr>
          <w:rFonts w:ascii="仿宋_GB2312" w:eastAsia="仿宋_GB2312" w:hAnsi="华文仿宋" w:cs="Times New Roman" w:hint="eastAsia"/>
          <w:sz w:val="32"/>
          <w:szCs w:val="32"/>
        </w:rPr>
        <w:t>，计算实际</w:t>
      </w:r>
      <w:r w:rsidR="00ED31F5" w:rsidRPr="00EE628C">
        <w:rPr>
          <w:rFonts w:ascii="仿宋_GB2312" w:eastAsia="仿宋_GB2312" w:hAnsi="华文仿宋" w:cs="Times New Roman" w:hint="eastAsia"/>
          <w:sz w:val="32"/>
          <w:szCs w:val="32"/>
        </w:rPr>
        <w:t>给药时的</w:t>
      </w:r>
      <w:r w:rsidRPr="00EE628C">
        <w:rPr>
          <w:rFonts w:ascii="仿宋_GB2312" w:eastAsia="仿宋_GB2312" w:hAnsi="华文仿宋" w:cs="Times New Roman" w:hint="eastAsia"/>
          <w:sz w:val="32"/>
          <w:szCs w:val="32"/>
        </w:rPr>
        <w:t>放射性剂量。</w:t>
      </w:r>
    </w:p>
    <w:p w14:paraId="5E87ABD8" w14:textId="77777777" w:rsidR="00365244" w:rsidRPr="00EE628C" w:rsidRDefault="00BA1912"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在药物研发的过程中，若受试物的</w:t>
      </w:r>
      <w:r w:rsidR="008A352E" w:rsidRPr="00EE628C">
        <w:rPr>
          <w:rFonts w:ascii="仿宋_GB2312" w:eastAsia="仿宋_GB2312" w:hAnsi="华文仿宋" w:cs="Times New Roman" w:hint="eastAsia"/>
          <w:sz w:val="32"/>
          <w:szCs w:val="32"/>
        </w:rPr>
        <w:t>处方</w:t>
      </w:r>
      <w:r w:rsidRPr="00EE628C">
        <w:rPr>
          <w:rFonts w:ascii="仿宋_GB2312" w:eastAsia="仿宋_GB2312" w:hAnsi="华文仿宋" w:cs="Times New Roman" w:hint="eastAsia"/>
          <w:sz w:val="32"/>
          <w:szCs w:val="32"/>
        </w:rPr>
        <w:t>工艺发生变更，应说明对有效性、药代动力学</w:t>
      </w:r>
      <w:r w:rsidR="00342B5A" w:rsidRPr="00EE628C">
        <w:rPr>
          <w:rFonts w:ascii="仿宋_GB2312" w:eastAsia="仿宋_GB2312" w:hAnsi="华文仿宋" w:cs="Times New Roman" w:hint="eastAsia"/>
          <w:sz w:val="32"/>
          <w:szCs w:val="32"/>
        </w:rPr>
        <w:t>和</w:t>
      </w:r>
      <w:r w:rsidRPr="00EE628C">
        <w:rPr>
          <w:rFonts w:ascii="仿宋_GB2312" w:eastAsia="仿宋_GB2312" w:hAnsi="华文仿宋" w:cs="Times New Roman" w:hint="eastAsia"/>
          <w:sz w:val="32"/>
          <w:szCs w:val="32"/>
        </w:rPr>
        <w:t>安全性的可能影响，必要时开展桥接研究。</w:t>
      </w:r>
    </w:p>
    <w:p w14:paraId="15D87223" w14:textId="77777777" w:rsidR="00F8272C"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6" w:name="_Toc46214304"/>
      <w:bookmarkStart w:id="7" w:name="_Toc49175029"/>
      <w:r w:rsidRPr="00E9542C">
        <w:rPr>
          <w:rFonts w:ascii="仿宋_GB2312" w:eastAsia="仿宋_GB2312" w:hAnsi="华文仿宋" w:cs="Times New Roman" w:hint="eastAsia"/>
          <w:sz w:val="32"/>
          <w:szCs w:val="32"/>
        </w:rPr>
        <w:t>（二）</w:t>
      </w:r>
      <w:r w:rsidR="009214BF" w:rsidRPr="00E9542C">
        <w:rPr>
          <w:rFonts w:ascii="仿宋_GB2312" w:eastAsia="仿宋_GB2312" w:hAnsi="华文仿宋" w:cs="Times New Roman" w:hint="eastAsia"/>
          <w:sz w:val="32"/>
          <w:szCs w:val="32"/>
        </w:rPr>
        <w:t>动物种属</w:t>
      </w:r>
      <w:bookmarkEnd w:id="6"/>
      <w:bookmarkEnd w:id="7"/>
    </w:p>
    <w:p w14:paraId="2B9F5513" w14:textId="77777777" w:rsidR="003D1D89" w:rsidRPr="00EE628C" w:rsidRDefault="00574FBA"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非临床研究应采用在药理活性和/或药代动力学特征上与人体</w:t>
      </w:r>
      <w:r w:rsidR="00E765F3" w:rsidRPr="00EE628C">
        <w:rPr>
          <w:rFonts w:ascii="仿宋_GB2312" w:eastAsia="仿宋_GB2312" w:hAnsi="华文仿宋" w:cs="Times New Roman" w:hint="eastAsia"/>
          <w:sz w:val="32"/>
          <w:szCs w:val="32"/>
        </w:rPr>
        <w:t>具有相关</w:t>
      </w:r>
      <w:r w:rsidRPr="00EE628C">
        <w:rPr>
          <w:rFonts w:ascii="仿宋_GB2312" w:eastAsia="仿宋_GB2312" w:hAnsi="华文仿宋" w:cs="Times New Roman" w:hint="eastAsia"/>
          <w:sz w:val="32"/>
          <w:szCs w:val="32"/>
        </w:rPr>
        <w:t>性的动物种属开展试验，</w:t>
      </w:r>
      <w:r w:rsidR="00083A00" w:rsidRPr="00EE628C">
        <w:rPr>
          <w:rFonts w:ascii="仿宋_GB2312" w:eastAsia="仿宋_GB2312" w:hAnsi="华文仿宋" w:cs="Times New Roman" w:hint="eastAsia"/>
          <w:sz w:val="32"/>
          <w:szCs w:val="32"/>
        </w:rPr>
        <w:t>需</w:t>
      </w:r>
      <w:r w:rsidR="00E765F3" w:rsidRPr="00EE628C">
        <w:rPr>
          <w:rFonts w:ascii="仿宋_GB2312" w:eastAsia="仿宋_GB2312" w:hAnsi="华文仿宋" w:cs="Times New Roman" w:hint="eastAsia"/>
          <w:sz w:val="32"/>
          <w:szCs w:val="32"/>
        </w:rPr>
        <w:t>说明动物种属选择的合理性。</w:t>
      </w:r>
    </w:p>
    <w:p w14:paraId="1A8F81C3" w14:textId="77777777" w:rsidR="00E61927"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8" w:name="_Toc46214305"/>
      <w:bookmarkStart w:id="9" w:name="_Toc49175030"/>
      <w:r w:rsidRPr="00E9542C">
        <w:rPr>
          <w:rFonts w:ascii="仿宋_GB2312" w:eastAsia="仿宋_GB2312" w:hAnsi="华文仿宋" w:cs="Times New Roman" w:hint="eastAsia"/>
          <w:sz w:val="32"/>
          <w:szCs w:val="32"/>
        </w:rPr>
        <w:t>（三）</w:t>
      </w:r>
      <w:r w:rsidR="0027733B" w:rsidRPr="00E9542C">
        <w:rPr>
          <w:rFonts w:ascii="仿宋_GB2312" w:eastAsia="仿宋_GB2312" w:hAnsi="华文仿宋" w:cs="Times New Roman" w:hint="eastAsia"/>
          <w:sz w:val="32"/>
          <w:szCs w:val="32"/>
        </w:rPr>
        <w:t>有效性</w:t>
      </w:r>
      <w:bookmarkEnd w:id="8"/>
      <w:r w:rsidR="00BA67A7">
        <w:rPr>
          <w:rFonts w:ascii="仿宋_GB2312" w:eastAsia="仿宋_GB2312" w:hAnsi="华文仿宋" w:cs="Times New Roman" w:hint="eastAsia"/>
          <w:sz w:val="32"/>
          <w:szCs w:val="32"/>
        </w:rPr>
        <w:t>研究</w:t>
      </w:r>
      <w:bookmarkEnd w:id="9"/>
    </w:p>
    <w:p w14:paraId="0E71D0BD" w14:textId="77777777" w:rsidR="00E61927" w:rsidRPr="00EE628C" w:rsidRDefault="008F0C9A"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非临床有效性</w:t>
      </w:r>
      <w:r w:rsidR="0027733B" w:rsidRPr="00EE628C">
        <w:rPr>
          <w:rFonts w:ascii="仿宋_GB2312" w:eastAsia="仿宋_GB2312" w:hAnsi="华文仿宋" w:cs="Times New Roman" w:hint="eastAsia"/>
          <w:sz w:val="32"/>
          <w:szCs w:val="32"/>
        </w:rPr>
        <w:t>研究</w:t>
      </w:r>
      <w:r w:rsidR="009C70A0" w:rsidRPr="00EE628C">
        <w:rPr>
          <w:rFonts w:ascii="仿宋_GB2312" w:eastAsia="仿宋_GB2312" w:hAnsi="华文仿宋" w:cs="Times New Roman" w:hint="eastAsia"/>
          <w:sz w:val="32"/>
          <w:szCs w:val="32"/>
        </w:rPr>
        <w:t>应能提供支持</w:t>
      </w:r>
      <w:r w:rsidR="00AB7EA1" w:rsidRPr="00EE628C">
        <w:rPr>
          <w:rFonts w:ascii="仿宋_GB2312" w:eastAsia="仿宋_GB2312" w:hAnsi="华文仿宋" w:cs="Times New Roman" w:hint="eastAsia"/>
          <w:sz w:val="32"/>
          <w:szCs w:val="32"/>
        </w:rPr>
        <w:t>放诊药物</w:t>
      </w:r>
      <w:r w:rsidR="009C70A0" w:rsidRPr="00EE628C">
        <w:rPr>
          <w:rFonts w:ascii="仿宋_GB2312" w:eastAsia="仿宋_GB2312" w:hAnsi="华文仿宋" w:cs="Times New Roman" w:hint="eastAsia"/>
          <w:sz w:val="32"/>
          <w:szCs w:val="32"/>
        </w:rPr>
        <w:t>立题的数据，</w:t>
      </w:r>
      <w:r w:rsidR="00B052E1" w:rsidRPr="00EE628C">
        <w:rPr>
          <w:rFonts w:ascii="仿宋_GB2312" w:eastAsia="仿宋_GB2312" w:hAnsi="华文仿宋" w:cs="Times New Roman" w:hint="eastAsia"/>
          <w:sz w:val="32"/>
          <w:szCs w:val="32"/>
        </w:rPr>
        <w:t>为临床拟定适应症、临床试验方案的制定（如给药剂量、检测时间等）提供参考信息。</w:t>
      </w:r>
    </w:p>
    <w:p w14:paraId="3F618D4B" w14:textId="77777777" w:rsidR="00E61927"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10" w:name="_Toc46214306"/>
      <w:bookmarkStart w:id="11" w:name="_Toc49175031"/>
      <w:r w:rsidRPr="00E9542C">
        <w:rPr>
          <w:rFonts w:ascii="仿宋_GB2312" w:eastAsia="仿宋_GB2312" w:hAnsi="华文仿宋" w:cs="Times New Roman" w:hint="eastAsia"/>
          <w:sz w:val="32"/>
          <w:szCs w:val="32"/>
        </w:rPr>
        <w:t>（四）</w:t>
      </w:r>
      <w:r w:rsidR="00D01EFC" w:rsidRPr="00E9542C">
        <w:rPr>
          <w:rFonts w:ascii="仿宋_GB2312" w:eastAsia="仿宋_GB2312" w:hAnsi="华文仿宋" w:cs="Times New Roman" w:hint="eastAsia"/>
          <w:sz w:val="32"/>
          <w:szCs w:val="32"/>
        </w:rPr>
        <w:t>安全性</w:t>
      </w:r>
      <w:bookmarkEnd w:id="10"/>
      <w:r w:rsidR="00BA67A7">
        <w:rPr>
          <w:rFonts w:ascii="仿宋_GB2312" w:eastAsia="仿宋_GB2312" w:hAnsi="华文仿宋" w:cs="Times New Roman" w:hint="eastAsia"/>
          <w:sz w:val="32"/>
          <w:szCs w:val="32"/>
        </w:rPr>
        <w:t>研究</w:t>
      </w:r>
      <w:bookmarkEnd w:id="11"/>
    </w:p>
    <w:p w14:paraId="1C765DA6" w14:textId="77777777" w:rsidR="00E61927" w:rsidRPr="00443872" w:rsidRDefault="00FC6C73"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非临床安全性研究</w:t>
      </w:r>
      <w:r w:rsidR="00006BA6" w:rsidRPr="00EE628C">
        <w:rPr>
          <w:rFonts w:ascii="仿宋_GB2312" w:eastAsia="仿宋_GB2312" w:hAnsi="华文仿宋" w:cs="Times New Roman" w:hint="eastAsia"/>
          <w:sz w:val="32"/>
          <w:szCs w:val="32"/>
        </w:rPr>
        <w:t>应对临床试验拟用样品和/或上市样品中的所有成分的潜在毒性进行整体评价，</w:t>
      </w:r>
      <w:r w:rsidRPr="00EE628C">
        <w:rPr>
          <w:rFonts w:ascii="仿宋_GB2312" w:eastAsia="仿宋_GB2312" w:hAnsi="华文仿宋" w:cs="Times New Roman" w:hint="eastAsia"/>
          <w:sz w:val="32"/>
          <w:szCs w:val="32"/>
        </w:rPr>
        <w:t>应</w:t>
      </w:r>
      <w:r w:rsidR="0019520A" w:rsidRPr="00EE628C">
        <w:rPr>
          <w:rFonts w:ascii="仿宋_GB2312" w:eastAsia="仿宋_GB2312" w:hAnsi="华文仿宋" w:cs="Times New Roman" w:hint="eastAsia"/>
          <w:sz w:val="32"/>
          <w:szCs w:val="32"/>
        </w:rPr>
        <w:t>能</w:t>
      </w:r>
      <w:r w:rsidRPr="00EE628C">
        <w:rPr>
          <w:rFonts w:ascii="仿宋_GB2312" w:eastAsia="仿宋_GB2312" w:hAnsi="华文仿宋" w:cs="Times New Roman" w:hint="eastAsia"/>
          <w:sz w:val="32"/>
          <w:szCs w:val="32"/>
        </w:rPr>
        <w:t>提供支持终产品安全性评价的</w:t>
      </w:r>
      <w:r w:rsidR="00D837DA" w:rsidRPr="00EE628C">
        <w:rPr>
          <w:rFonts w:ascii="仿宋_GB2312" w:eastAsia="仿宋_GB2312" w:hAnsi="华文仿宋" w:cs="Times New Roman" w:hint="eastAsia"/>
          <w:sz w:val="32"/>
          <w:szCs w:val="32"/>
        </w:rPr>
        <w:t>信息，</w:t>
      </w:r>
      <w:r w:rsidR="00E30879" w:rsidRPr="00EE628C">
        <w:rPr>
          <w:rFonts w:ascii="仿宋_GB2312" w:eastAsia="仿宋_GB2312" w:hAnsi="华文仿宋" w:cs="Times New Roman" w:hint="eastAsia"/>
          <w:sz w:val="32"/>
          <w:szCs w:val="32"/>
        </w:rPr>
        <w:t>一般包括毒理学</w:t>
      </w:r>
      <w:r w:rsidR="00746E89" w:rsidRPr="00EE628C">
        <w:rPr>
          <w:rFonts w:ascii="仿宋_GB2312" w:eastAsia="仿宋_GB2312" w:hAnsi="华文仿宋" w:cs="Times New Roman" w:hint="eastAsia"/>
          <w:sz w:val="32"/>
          <w:szCs w:val="32"/>
        </w:rPr>
        <w:t>信息</w:t>
      </w:r>
      <w:r w:rsidR="00E30879" w:rsidRPr="00EE628C">
        <w:rPr>
          <w:rFonts w:ascii="仿宋_GB2312" w:eastAsia="仿宋_GB2312" w:hAnsi="华文仿宋" w:cs="Times New Roman" w:hint="eastAsia"/>
          <w:sz w:val="32"/>
          <w:szCs w:val="32"/>
        </w:rPr>
        <w:t>、辐射安全性</w:t>
      </w:r>
      <w:r w:rsidR="00746E89" w:rsidRPr="00EE628C">
        <w:rPr>
          <w:rFonts w:ascii="仿宋_GB2312" w:eastAsia="仿宋_GB2312" w:hAnsi="华文仿宋" w:cs="Times New Roman" w:hint="eastAsia"/>
          <w:sz w:val="32"/>
          <w:szCs w:val="32"/>
        </w:rPr>
        <w:t>信息</w:t>
      </w:r>
      <w:r w:rsidR="00E30879" w:rsidRPr="00EE628C">
        <w:rPr>
          <w:rFonts w:ascii="仿宋_GB2312" w:eastAsia="仿宋_GB2312" w:hAnsi="华文仿宋" w:cs="Times New Roman" w:hint="eastAsia"/>
          <w:sz w:val="32"/>
          <w:szCs w:val="32"/>
        </w:rPr>
        <w:t>。</w:t>
      </w:r>
    </w:p>
    <w:p w14:paraId="03F37643" w14:textId="77777777" w:rsidR="00E61927" w:rsidRPr="00E9542C" w:rsidRDefault="00234FD8" w:rsidP="00E9542C">
      <w:pPr>
        <w:spacing w:line="360" w:lineRule="auto"/>
        <w:ind w:firstLineChars="200" w:firstLine="640"/>
        <w:outlineLvl w:val="0"/>
        <w:rPr>
          <w:rFonts w:ascii="黑体" w:eastAsia="黑体" w:hAnsi="黑体" w:cs="Times New Roman"/>
          <w:sz w:val="32"/>
          <w:szCs w:val="32"/>
        </w:rPr>
      </w:pPr>
      <w:bookmarkStart w:id="12" w:name="_Toc46214307"/>
      <w:bookmarkStart w:id="13" w:name="_Toc49175032"/>
      <w:r w:rsidRPr="00E9542C">
        <w:rPr>
          <w:rFonts w:ascii="黑体" w:eastAsia="黑体" w:hAnsi="黑体" w:cs="Times New Roman" w:hint="eastAsia"/>
          <w:sz w:val="32"/>
          <w:szCs w:val="32"/>
        </w:rPr>
        <w:t>三、对非临床研究实施的建议</w:t>
      </w:r>
      <w:bookmarkEnd w:id="12"/>
      <w:bookmarkEnd w:id="13"/>
    </w:p>
    <w:p w14:paraId="2E0C8A5C" w14:textId="77777777" w:rsidR="00E61927"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14" w:name="_Toc46214308"/>
      <w:bookmarkStart w:id="15" w:name="_Toc49175033"/>
      <w:r w:rsidRPr="00E9542C">
        <w:rPr>
          <w:rFonts w:ascii="仿宋_GB2312" w:eastAsia="仿宋_GB2312" w:hAnsi="华文仿宋" w:cs="Times New Roman" w:hint="eastAsia"/>
          <w:sz w:val="32"/>
          <w:szCs w:val="32"/>
        </w:rPr>
        <w:lastRenderedPageBreak/>
        <w:t>（一）</w:t>
      </w:r>
      <w:r w:rsidR="000823A0" w:rsidRPr="00E9542C">
        <w:rPr>
          <w:rFonts w:ascii="仿宋_GB2312" w:eastAsia="仿宋_GB2312" w:hAnsi="华文仿宋" w:cs="Times New Roman" w:hint="eastAsia"/>
          <w:sz w:val="32"/>
          <w:szCs w:val="32"/>
        </w:rPr>
        <w:t>药效学</w:t>
      </w:r>
      <w:r w:rsidR="00F55CAC" w:rsidRPr="00E9542C">
        <w:rPr>
          <w:rFonts w:ascii="仿宋_GB2312" w:eastAsia="仿宋_GB2312" w:hAnsi="华文仿宋" w:cs="Times New Roman" w:hint="eastAsia"/>
          <w:sz w:val="32"/>
          <w:szCs w:val="32"/>
        </w:rPr>
        <w:t>研究</w:t>
      </w:r>
      <w:bookmarkEnd w:id="14"/>
      <w:bookmarkEnd w:id="15"/>
    </w:p>
    <w:p w14:paraId="3224B0BB" w14:textId="77777777" w:rsidR="00E61927" w:rsidRPr="00EE628C" w:rsidRDefault="00C679DC"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放诊药物的非临床</w:t>
      </w:r>
      <w:r w:rsidR="00C06C1F" w:rsidRPr="00EE628C">
        <w:rPr>
          <w:rFonts w:ascii="仿宋_GB2312" w:eastAsia="仿宋_GB2312" w:hAnsi="华文仿宋" w:cs="Times New Roman" w:hint="eastAsia"/>
          <w:sz w:val="32"/>
          <w:szCs w:val="32"/>
        </w:rPr>
        <w:t>药效学</w:t>
      </w:r>
      <w:r w:rsidRPr="00EE628C">
        <w:rPr>
          <w:rFonts w:ascii="仿宋_GB2312" w:eastAsia="仿宋_GB2312" w:hAnsi="华文仿宋" w:cs="Times New Roman" w:hint="eastAsia"/>
          <w:sz w:val="32"/>
          <w:szCs w:val="32"/>
        </w:rPr>
        <w:t>研究</w:t>
      </w:r>
      <w:r w:rsidR="00C06C1F" w:rsidRPr="00EE628C">
        <w:rPr>
          <w:rFonts w:ascii="仿宋_GB2312" w:eastAsia="仿宋_GB2312" w:hAnsi="华文仿宋" w:cs="Times New Roman" w:hint="eastAsia"/>
          <w:sz w:val="32"/>
          <w:szCs w:val="32"/>
        </w:rPr>
        <w:t>通常</w:t>
      </w:r>
      <w:r w:rsidRPr="00EE628C">
        <w:rPr>
          <w:rFonts w:ascii="仿宋_GB2312" w:eastAsia="仿宋_GB2312" w:hAnsi="华文仿宋" w:cs="Times New Roman" w:hint="eastAsia"/>
          <w:sz w:val="32"/>
          <w:szCs w:val="32"/>
        </w:rPr>
        <w:t>包括作用机制研究、动物活体显像研究</w:t>
      </w:r>
      <w:r w:rsidR="000823A0" w:rsidRPr="00EE628C">
        <w:rPr>
          <w:rFonts w:ascii="仿宋_GB2312" w:eastAsia="仿宋_GB2312" w:hAnsi="华文仿宋" w:cs="Times New Roman" w:hint="eastAsia"/>
          <w:sz w:val="32"/>
          <w:szCs w:val="32"/>
        </w:rPr>
        <w:t>、次要药效学研究</w:t>
      </w:r>
      <w:r w:rsidRPr="00EE628C">
        <w:rPr>
          <w:rFonts w:ascii="仿宋_GB2312" w:eastAsia="仿宋_GB2312" w:hAnsi="华文仿宋" w:cs="Times New Roman" w:hint="eastAsia"/>
          <w:sz w:val="32"/>
          <w:szCs w:val="32"/>
        </w:rPr>
        <w:t>等。</w:t>
      </w:r>
    </w:p>
    <w:p w14:paraId="449CD072" w14:textId="77777777" w:rsidR="00E61927" w:rsidRPr="00EE628C" w:rsidRDefault="00B052E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作用机制研究应考察放诊药物与靶点</w:t>
      </w:r>
      <w:r w:rsidR="00A65655" w:rsidRPr="00EE628C">
        <w:rPr>
          <w:rFonts w:ascii="仿宋_GB2312" w:eastAsia="仿宋_GB2312" w:hAnsi="华文仿宋" w:cs="Times New Roman" w:hint="eastAsia"/>
          <w:sz w:val="32"/>
          <w:szCs w:val="32"/>
        </w:rPr>
        <w:t>的亲和性</w:t>
      </w:r>
      <w:r w:rsidR="009F66A2" w:rsidRPr="00EE628C">
        <w:rPr>
          <w:rFonts w:ascii="仿宋_GB2312" w:eastAsia="仿宋_GB2312" w:hAnsi="华文仿宋" w:cs="Times New Roman" w:hint="eastAsia"/>
          <w:sz w:val="32"/>
          <w:szCs w:val="32"/>
        </w:rPr>
        <w:t>（如结合、解离能力）</w:t>
      </w:r>
      <w:r w:rsidR="00A65655" w:rsidRPr="00EE628C">
        <w:rPr>
          <w:rFonts w:ascii="仿宋_GB2312" w:eastAsia="仿宋_GB2312" w:hAnsi="华文仿宋" w:cs="Times New Roman" w:hint="eastAsia"/>
          <w:sz w:val="32"/>
          <w:szCs w:val="32"/>
        </w:rPr>
        <w:t>、选择性、特异性</w:t>
      </w:r>
      <w:r w:rsidRPr="00EE628C">
        <w:rPr>
          <w:rFonts w:ascii="仿宋_GB2312" w:eastAsia="仿宋_GB2312" w:hAnsi="华文仿宋" w:cs="Times New Roman" w:hint="eastAsia"/>
          <w:sz w:val="32"/>
          <w:szCs w:val="32"/>
        </w:rPr>
        <w:t>等</w:t>
      </w:r>
      <w:r w:rsidR="009F66A2" w:rsidRPr="00EE628C">
        <w:rPr>
          <w:rFonts w:ascii="仿宋_GB2312" w:eastAsia="仿宋_GB2312" w:hAnsi="华文仿宋" w:cs="Times New Roman" w:hint="eastAsia"/>
          <w:sz w:val="32"/>
          <w:szCs w:val="32"/>
        </w:rPr>
        <w:t>。</w:t>
      </w:r>
    </w:p>
    <w:p w14:paraId="4EF58F70" w14:textId="77777777" w:rsidR="00E61927" w:rsidRPr="00EE628C" w:rsidRDefault="0027733B"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动物活体显像研究应</w:t>
      </w:r>
      <w:r w:rsidR="009C70A0" w:rsidRPr="00EE628C">
        <w:rPr>
          <w:rFonts w:ascii="仿宋_GB2312" w:eastAsia="仿宋_GB2312" w:hAnsi="华文仿宋" w:cs="Times New Roman" w:hint="eastAsia"/>
          <w:sz w:val="32"/>
          <w:szCs w:val="32"/>
        </w:rPr>
        <w:t>选用</w:t>
      </w:r>
      <w:r w:rsidR="00C679DC" w:rsidRPr="00EE628C">
        <w:rPr>
          <w:rFonts w:ascii="仿宋_GB2312" w:eastAsia="仿宋_GB2312" w:hAnsi="华文仿宋" w:cs="Times New Roman" w:hint="eastAsia"/>
          <w:sz w:val="32"/>
          <w:szCs w:val="32"/>
        </w:rPr>
        <w:t>与</w:t>
      </w:r>
      <w:r w:rsidR="009C70A0" w:rsidRPr="00EE628C">
        <w:rPr>
          <w:rFonts w:ascii="仿宋_GB2312" w:eastAsia="仿宋_GB2312" w:hAnsi="华文仿宋" w:cs="Times New Roman" w:hint="eastAsia"/>
          <w:sz w:val="32"/>
          <w:szCs w:val="32"/>
        </w:rPr>
        <w:t>临床拟定适应症相关的动物模型，采用</w:t>
      </w:r>
      <w:r w:rsidRPr="00EE628C">
        <w:rPr>
          <w:rFonts w:ascii="仿宋_GB2312" w:eastAsia="仿宋_GB2312" w:hAnsi="华文仿宋" w:cs="Times New Roman" w:hint="eastAsia"/>
          <w:sz w:val="32"/>
          <w:szCs w:val="32"/>
        </w:rPr>
        <w:t>临床拟用途径及与其组合的</w:t>
      </w:r>
      <w:r w:rsidR="009C70A0" w:rsidRPr="00EE628C">
        <w:rPr>
          <w:rFonts w:ascii="仿宋_GB2312" w:eastAsia="仿宋_GB2312" w:hAnsi="华文仿宋" w:cs="Times New Roman" w:hint="eastAsia"/>
          <w:sz w:val="32"/>
          <w:szCs w:val="32"/>
        </w:rPr>
        <w:t>检测</w:t>
      </w:r>
      <w:r w:rsidRPr="00EE628C">
        <w:rPr>
          <w:rFonts w:ascii="仿宋_GB2312" w:eastAsia="仿宋_GB2312" w:hAnsi="华文仿宋" w:cs="Times New Roman" w:hint="eastAsia"/>
          <w:sz w:val="32"/>
          <w:szCs w:val="32"/>
        </w:rPr>
        <w:t>设备</w:t>
      </w:r>
      <w:r w:rsidR="009C70A0" w:rsidRPr="00EE628C">
        <w:rPr>
          <w:rFonts w:ascii="仿宋_GB2312" w:eastAsia="仿宋_GB2312" w:hAnsi="华文仿宋" w:cs="Times New Roman" w:hint="eastAsia"/>
          <w:sz w:val="32"/>
          <w:szCs w:val="32"/>
        </w:rPr>
        <w:t>，应能初步提示</w:t>
      </w:r>
      <w:r w:rsidR="00E260EF" w:rsidRPr="00EE628C">
        <w:rPr>
          <w:rFonts w:ascii="仿宋_GB2312" w:eastAsia="仿宋_GB2312" w:hAnsi="华文仿宋" w:cs="Times New Roman" w:hint="eastAsia"/>
          <w:sz w:val="32"/>
          <w:szCs w:val="32"/>
        </w:rPr>
        <w:t>对定位组织/器官的显像能力，如</w:t>
      </w:r>
      <w:r w:rsidR="008F57E8" w:rsidRPr="00EE628C">
        <w:rPr>
          <w:rFonts w:ascii="仿宋_GB2312" w:eastAsia="仿宋_GB2312" w:hAnsi="华文仿宋" w:cs="Times New Roman" w:hint="eastAsia"/>
          <w:sz w:val="32"/>
          <w:szCs w:val="32"/>
        </w:rPr>
        <w:t>时间-效应关系、</w:t>
      </w:r>
      <w:r w:rsidR="009C70A0" w:rsidRPr="00EE628C">
        <w:rPr>
          <w:rFonts w:ascii="仿宋_GB2312" w:eastAsia="仿宋_GB2312" w:hAnsi="华文仿宋" w:cs="Times New Roman" w:hint="eastAsia"/>
          <w:sz w:val="32"/>
          <w:szCs w:val="32"/>
        </w:rPr>
        <w:t>剂量-效应关系</w:t>
      </w:r>
      <w:r w:rsidR="003F3009" w:rsidRPr="00EE628C">
        <w:rPr>
          <w:rFonts w:ascii="仿宋_GB2312" w:eastAsia="仿宋_GB2312" w:hAnsi="华文仿宋" w:cs="Times New Roman" w:hint="eastAsia"/>
          <w:sz w:val="32"/>
          <w:szCs w:val="32"/>
        </w:rPr>
        <w:t>、</w:t>
      </w:r>
      <w:r w:rsidR="009C70A0" w:rsidRPr="00EE628C">
        <w:rPr>
          <w:rFonts w:ascii="仿宋_GB2312" w:eastAsia="仿宋_GB2312" w:hAnsi="华文仿宋" w:cs="Times New Roman" w:hint="eastAsia"/>
          <w:sz w:val="32"/>
          <w:szCs w:val="32"/>
        </w:rPr>
        <w:t>选择性、特异性、靶向性等。</w:t>
      </w:r>
    </w:p>
    <w:p w14:paraId="3D8C965A" w14:textId="3A9123CC" w:rsidR="00E61927" w:rsidRPr="00EE628C" w:rsidRDefault="00252C4F"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考虑到动物模型与拟定适应症之间的种属及病</w:t>
      </w:r>
      <w:r w:rsidR="00B06EEA">
        <w:rPr>
          <w:rFonts w:ascii="仿宋_GB2312" w:eastAsia="仿宋_GB2312" w:hAnsi="华文仿宋" w:cs="Times New Roman" w:hint="eastAsia"/>
          <w:sz w:val="32"/>
          <w:szCs w:val="32"/>
        </w:rPr>
        <w:t>理</w:t>
      </w:r>
      <w:r w:rsidRPr="00EE628C">
        <w:rPr>
          <w:rFonts w:ascii="仿宋_GB2312" w:eastAsia="仿宋_GB2312" w:hAnsi="华文仿宋" w:cs="Times New Roman" w:hint="eastAsia"/>
          <w:sz w:val="32"/>
          <w:szCs w:val="32"/>
        </w:rPr>
        <w:t>生理状态差异，在有条件的情况下，可采用来自于</w:t>
      </w:r>
      <w:r w:rsidR="00B06EEA">
        <w:rPr>
          <w:rFonts w:ascii="仿宋_GB2312" w:eastAsia="仿宋_GB2312" w:hAnsi="华文仿宋" w:cs="Times New Roman" w:hint="eastAsia"/>
          <w:sz w:val="32"/>
          <w:szCs w:val="32"/>
        </w:rPr>
        <w:t>拟</w:t>
      </w:r>
      <w:r w:rsidR="00A4584A">
        <w:rPr>
          <w:rFonts w:ascii="仿宋_GB2312" w:eastAsia="仿宋_GB2312" w:hAnsi="华文仿宋" w:cs="Times New Roman" w:hint="eastAsia"/>
          <w:sz w:val="32"/>
          <w:szCs w:val="32"/>
        </w:rPr>
        <w:t>定</w:t>
      </w:r>
      <w:r w:rsidR="00B06EEA">
        <w:rPr>
          <w:rFonts w:ascii="仿宋_GB2312" w:eastAsia="仿宋_GB2312" w:hAnsi="华文仿宋" w:cs="Times New Roman"/>
          <w:sz w:val="32"/>
          <w:szCs w:val="32"/>
        </w:rPr>
        <w:t>适应症患者</w:t>
      </w:r>
      <w:r w:rsidRPr="00EE628C">
        <w:rPr>
          <w:rFonts w:ascii="仿宋_GB2312" w:eastAsia="仿宋_GB2312" w:hAnsi="华文仿宋" w:cs="Times New Roman" w:hint="eastAsia"/>
          <w:sz w:val="32"/>
          <w:szCs w:val="32"/>
        </w:rPr>
        <w:t>的</w:t>
      </w:r>
      <w:r w:rsidR="00B06EEA">
        <w:rPr>
          <w:rFonts w:ascii="仿宋_GB2312" w:eastAsia="仿宋_GB2312" w:hAnsi="华文仿宋" w:cs="Times New Roman" w:hint="eastAsia"/>
          <w:sz w:val="32"/>
          <w:szCs w:val="32"/>
        </w:rPr>
        <w:t>人体</w:t>
      </w:r>
      <w:r w:rsidRPr="00EE628C">
        <w:rPr>
          <w:rFonts w:ascii="仿宋_GB2312" w:eastAsia="仿宋_GB2312" w:hAnsi="华文仿宋" w:cs="Times New Roman" w:hint="eastAsia"/>
          <w:sz w:val="32"/>
          <w:szCs w:val="32"/>
        </w:rPr>
        <w:t>组织材料，开展作用机制研究、放射诊断的特异性及选择性研究等。</w:t>
      </w:r>
      <w:r w:rsidR="00164AE5" w:rsidRPr="00EE628C">
        <w:rPr>
          <w:rFonts w:ascii="仿宋_GB2312" w:eastAsia="仿宋_GB2312" w:hAnsi="华文仿宋" w:cs="Times New Roman" w:hint="eastAsia"/>
          <w:sz w:val="32"/>
          <w:szCs w:val="32"/>
        </w:rPr>
        <w:t>若放诊药物</w:t>
      </w:r>
      <w:r w:rsidR="006E530A" w:rsidRPr="00EE628C">
        <w:rPr>
          <w:rFonts w:ascii="仿宋_GB2312" w:eastAsia="仿宋_GB2312" w:hAnsi="华文仿宋" w:cs="Times New Roman" w:hint="eastAsia"/>
          <w:sz w:val="32"/>
          <w:szCs w:val="32"/>
        </w:rPr>
        <w:t>可</w:t>
      </w:r>
      <w:r w:rsidR="00164AE5" w:rsidRPr="00EE628C">
        <w:rPr>
          <w:rFonts w:ascii="仿宋_GB2312" w:eastAsia="仿宋_GB2312" w:hAnsi="华文仿宋" w:cs="Times New Roman" w:hint="eastAsia"/>
          <w:sz w:val="32"/>
          <w:szCs w:val="32"/>
        </w:rPr>
        <w:t>在体内代谢</w:t>
      </w:r>
      <w:r w:rsidR="006E530A" w:rsidRPr="00EE628C">
        <w:rPr>
          <w:rFonts w:ascii="仿宋_GB2312" w:eastAsia="仿宋_GB2312" w:hAnsi="华文仿宋" w:cs="Times New Roman" w:hint="eastAsia"/>
          <w:sz w:val="32"/>
          <w:szCs w:val="32"/>
        </w:rPr>
        <w:t>转化</w:t>
      </w:r>
      <w:r w:rsidR="00164AE5" w:rsidRPr="00EE628C">
        <w:rPr>
          <w:rFonts w:ascii="仿宋_GB2312" w:eastAsia="仿宋_GB2312" w:hAnsi="华文仿宋" w:cs="Times New Roman" w:hint="eastAsia"/>
          <w:sz w:val="32"/>
          <w:szCs w:val="32"/>
        </w:rPr>
        <w:t>为</w:t>
      </w:r>
      <w:r w:rsidR="006E530A" w:rsidRPr="00EE628C">
        <w:rPr>
          <w:rFonts w:ascii="仿宋_GB2312" w:eastAsia="仿宋_GB2312" w:hAnsi="华文仿宋" w:cs="Times New Roman" w:hint="eastAsia"/>
          <w:sz w:val="32"/>
          <w:szCs w:val="32"/>
        </w:rPr>
        <w:t>具有</w:t>
      </w:r>
      <w:r w:rsidR="00164AE5" w:rsidRPr="00EE628C">
        <w:rPr>
          <w:rFonts w:ascii="仿宋_GB2312" w:eastAsia="仿宋_GB2312" w:hAnsi="华文仿宋" w:cs="Times New Roman" w:hint="eastAsia"/>
          <w:sz w:val="32"/>
          <w:szCs w:val="32"/>
        </w:rPr>
        <w:t>放射性</w:t>
      </w:r>
      <w:r w:rsidR="006E530A" w:rsidRPr="00EE628C">
        <w:rPr>
          <w:rFonts w:ascii="仿宋_GB2312" w:eastAsia="仿宋_GB2312" w:hAnsi="华文仿宋" w:cs="Times New Roman" w:hint="eastAsia"/>
          <w:sz w:val="32"/>
          <w:szCs w:val="32"/>
        </w:rPr>
        <w:t>的</w:t>
      </w:r>
      <w:r w:rsidR="00164AE5" w:rsidRPr="00EE628C">
        <w:rPr>
          <w:rFonts w:ascii="仿宋_GB2312" w:eastAsia="仿宋_GB2312" w:hAnsi="华文仿宋" w:cs="Times New Roman" w:hint="eastAsia"/>
          <w:sz w:val="32"/>
          <w:szCs w:val="32"/>
        </w:rPr>
        <w:t>代谢产物，</w:t>
      </w:r>
      <w:r w:rsidR="006E530A" w:rsidRPr="00EE628C">
        <w:rPr>
          <w:rFonts w:ascii="仿宋_GB2312" w:eastAsia="仿宋_GB2312" w:hAnsi="华文仿宋" w:cs="Times New Roman" w:hint="eastAsia"/>
          <w:sz w:val="32"/>
          <w:szCs w:val="32"/>
        </w:rPr>
        <w:t>应</w:t>
      </w:r>
      <w:r w:rsidR="00164AE5" w:rsidRPr="00EE628C">
        <w:rPr>
          <w:rFonts w:ascii="仿宋_GB2312" w:eastAsia="仿宋_GB2312" w:hAnsi="华文仿宋" w:cs="Times New Roman" w:hint="eastAsia"/>
          <w:sz w:val="32"/>
          <w:szCs w:val="32"/>
        </w:rPr>
        <w:t>评估放射性代谢产物对显像的</w:t>
      </w:r>
      <w:r w:rsidR="006E530A" w:rsidRPr="00EE628C">
        <w:rPr>
          <w:rFonts w:ascii="仿宋_GB2312" w:eastAsia="仿宋_GB2312" w:hAnsi="华文仿宋" w:cs="Times New Roman" w:hint="eastAsia"/>
          <w:sz w:val="32"/>
          <w:szCs w:val="32"/>
        </w:rPr>
        <w:t>潜在</w:t>
      </w:r>
      <w:r w:rsidR="00164AE5" w:rsidRPr="00EE628C">
        <w:rPr>
          <w:rFonts w:ascii="仿宋_GB2312" w:eastAsia="仿宋_GB2312" w:hAnsi="华文仿宋" w:cs="Times New Roman" w:hint="eastAsia"/>
          <w:sz w:val="32"/>
          <w:szCs w:val="32"/>
        </w:rPr>
        <w:t>影响。</w:t>
      </w:r>
    </w:p>
    <w:p w14:paraId="5570CC4B" w14:textId="77777777" w:rsidR="00E61927" w:rsidRPr="00EE628C" w:rsidRDefault="002E2A6C"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次要药效学研究包括</w:t>
      </w:r>
      <w:r w:rsidR="00463EC9" w:rsidRPr="00EE628C">
        <w:rPr>
          <w:rFonts w:ascii="仿宋_GB2312" w:eastAsia="仿宋_GB2312" w:hAnsi="华文仿宋" w:cs="Times New Roman" w:hint="eastAsia"/>
          <w:sz w:val="32"/>
          <w:szCs w:val="32"/>
        </w:rPr>
        <w:t>但不限于以下内容</w:t>
      </w:r>
      <w:r w:rsidR="002C5ABF" w:rsidRPr="00EE628C">
        <w:rPr>
          <w:rFonts w:ascii="仿宋_GB2312" w:eastAsia="仿宋_GB2312" w:hAnsi="华文仿宋" w:cs="Times New Roman" w:hint="eastAsia"/>
          <w:sz w:val="32"/>
          <w:szCs w:val="32"/>
        </w:rPr>
        <w:t>：</w:t>
      </w:r>
      <w:r w:rsidR="0073225D" w:rsidRPr="00EE628C">
        <w:rPr>
          <w:rFonts w:ascii="仿宋_GB2312" w:eastAsia="仿宋_GB2312" w:hAnsi="华文仿宋" w:cs="Times New Roman" w:hint="eastAsia"/>
          <w:sz w:val="32"/>
          <w:szCs w:val="32"/>
        </w:rPr>
        <w:t>评估放诊药物</w:t>
      </w:r>
      <w:r w:rsidR="00C23467" w:rsidRPr="00EE628C">
        <w:rPr>
          <w:rFonts w:ascii="仿宋_GB2312" w:eastAsia="仿宋_GB2312" w:hAnsi="华文仿宋" w:cs="Times New Roman" w:hint="eastAsia"/>
          <w:sz w:val="32"/>
          <w:szCs w:val="32"/>
        </w:rPr>
        <w:t>、与靶点有结合能力的非放射性组分</w:t>
      </w:r>
      <w:r w:rsidR="0073225D" w:rsidRPr="00EE628C">
        <w:rPr>
          <w:rFonts w:ascii="仿宋_GB2312" w:eastAsia="仿宋_GB2312" w:hAnsi="华文仿宋" w:cs="Times New Roman" w:hint="eastAsia"/>
          <w:sz w:val="32"/>
          <w:szCs w:val="32"/>
        </w:rPr>
        <w:t>对靶点功能活性的影响</w:t>
      </w:r>
      <w:r w:rsidR="002C5ABF" w:rsidRPr="00EE628C">
        <w:rPr>
          <w:rFonts w:ascii="仿宋_GB2312" w:eastAsia="仿宋_GB2312" w:hAnsi="华文仿宋" w:cs="Times New Roman" w:hint="eastAsia"/>
          <w:sz w:val="32"/>
          <w:szCs w:val="32"/>
        </w:rPr>
        <w:t>；</w:t>
      </w:r>
      <w:r w:rsidR="000201AD" w:rsidRPr="00EE628C">
        <w:rPr>
          <w:rFonts w:ascii="仿宋_GB2312" w:eastAsia="仿宋_GB2312" w:hAnsi="华文仿宋" w:cs="Times New Roman" w:hint="eastAsia"/>
          <w:sz w:val="32"/>
          <w:szCs w:val="32"/>
        </w:rPr>
        <w:t>评估</w:t>
      </w:r>
      <w:r w:rsidR="00D36C5E" w:rsidRPr="00EE628C">
        <w:rPr>
          <w:rFonts w:ascii="仿宋_GB2312" w:eastAsia="仿宋_GB2312" w:hAnsi="华文仿宋" w:cs="Times New Roman" w:hint="eastAsia"/>
          <w:sz w:val="32"/>
          <w:szCs w:val="32"/>
        </w:rPr>
        <w:t>放诊药物对其他受体、酶、离子通道、转运体等</w:t>
      </w:r>
      <w:r w:rsidR="002C5ABF" w:rsidRPr="00EE628C">
        <w:rPr>
          <w:rFonts w:ascii="仿宋_GB2312" w:eastAsia="仿宋_GB2312" w:hAnsi="华文仿宋" w:cs="Times New Roman" w:hint="eastAsia"/>
          <w:sz w:val="32"/>
          <w:szCs w:val="32"/>
        </w:rPr>
        <w:t>的</w:t>
      </w:r>
      <w:r w:rsidR="00D36C5E" w:rsidRPr="00EE628C">
        <w:rPr>
          <w:rFonts w:ascii="仿宋_GB2312" w:eastAsia="仿宋_GB2312" w:hAnsi="华文仿宋" w:cs="Times New Roman" w:hint="eastAsia"/>
          <w:sz w:val="32"/>
          <w:szCs w:val="32"/>
        </w:rPr>
        <w:t>影响，分析</w:t>
      </w:r>
      <w:r w:rsidR="00705459" w:rsidRPr="00EE628C">
        <w:rPr>
          <w:rFonts w:ascii="仿宋_GB2312" w:eastAsia="仿宋_GB2312" w:hAnsi="华文仿宋" w:cs="Times New Roman" w:hint="eastAsia"/>
          <w:sz w:val="32"/>
          <w:szCs w:val="32"/>
        </w:rPr>
        <w:t>潜在的脱靶效应</w:t>
      </w:r>
      <w:r w:rsidR="00243872" w:rsidRPr="00EE628C">
        <w:rPr>
          <w:rFonts w:ascii="仿宋_GB2312" w:eastAsia="仿宋_GB2312" w:hAnsi="华文仿宋" w:cs="Times New Roman" w:hint="eastAsia"/>
          <w:sz w:val="32"/>
          <w:szCs w:val="32"/>
        </w:rPr>
        <w:t>。</w:t>
      </w:r>
    </w:p>
    <w:p w14:paraId="635A2BAA" w14:textId="77777777" w:rsidR="00E61927"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16" w:name="_Toc46214309"/>
      <w:bookmarkStart w:id="17" w:name="_Toc49175034"/>
      <w:r w:rsidRPr="00E9542C">
        <w:rPr>
          <w:rFonts w:ascii="仿宋_GB2312" w:eastAsia="仿宋_GB2312" w:hAnsi="华文仿宋" w:cs="Times New Roman" w:hint="eastAsia"/>
          <w:sz w:val="32"/>
          <w:szCs w:val="32"/>
        </w:rPr>
        <w:t>（二）</w:t>
      </w:r>
      <w:r w:rsidR="004923CC" w:rsidRPr="00E9542C">
        <w:rPr>
          <w:rFonts w:ascii="仿宋_GB2312" w:eastAsia="仿宋_GB2312" w:hAnsi="华文仿宋" w:cs="Times New Roman" w:hint="eastAsia"/>
          <w:sz w:val="32"/>
          <w:szCs w:val="32"/>
        </w:rPr>
        <w:t>药代动力学研究</w:t>
      </w:r>
      <w:bookmarkEnd w:id="16"/>
      <w:r w:rsidR="0085016D" w:rsidRPr="00E9542C">
        <w:rPr>
          <w:rFonts w:ascii="仿宋_GB2312" w:eastAsia="仿宋_GB2312" w:hAnsi="华文仿宋" w:cs="Times New Roman" w:hint="eastAsia"/>
          <w:sz w:val="32"/>
          <w:szCs w:val="32"/>
        </w:rPr>
        <w:t>/毒代动力学研究</w:t>
      </w:r>
      <w:bookmarkEnd w:id="17"/>
    </w:p>
    <w:p w14:paraId="154A1178" w14:textId="77777777" w:rsidR="00E61927" w:rsidRPr="00EE628C" w:rsidRDefault="00144587"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应提供放诊药物的吸收、分布、代谢、排泄等药代动力学研究信息</w:t>
      </w:r>
      <w:r w:rsidR="005C79A6" w:rsidRPr="00EE628C">
        <w:rPr>
          <w:rFonts w:ascii="仿宋_GB2312" w:eastAsia="仿宋_GB2312" w:hAnsi="华文仿宋" w:cs="Times New Roman" w:hint="eastAsia"/>
          <w:sz w:val="32"/>
          <w:szCs w:val="32"/>
        </w:rPr>
        <w:t>。</w:t>
      </w:r>
      <w:r w:rsidR="00794FDD" w:rsidRPr="00EE628C">
        <w:rPr>
          <w:rFonts w:ascii="仿宋_GB2312" w:eastAsia="仿宋_GB2312" w:hAnsi="华文仿宋" w:cs="Times New Roman" w:hint="eastAsia"/>
          <w:sz w:val="32"/>
          <w:szCs w:val="32"/>
        </w:rPr>
        <w:t>在有条件的情况下</w:t>
      </w:r>
      <w:r w:rsidR="005C79A6" w:rsidRPr="00EE628C">
        <w:rPr>
          <w:rFonts w:ascii="仿宋_GB2312" w:eastAsia="仿宋_GB2312" w:hAnsi="华文仿宋" w:cs="Times New Roman" w:hint="eastAsia"/>
          <w:sz w:val="32"/>
          <w:szCs w:val="32"/>
        </w:rPr>
        <w:t>，可考虑</w:t>
      </w:r>
      <w:r w:rsidRPr="00EE628C">
        <w:rPr>
          <w:rFonts w:ascii="仿宋_GB2312" w:eastAsia="仿宋_GB2312" w:hAnsi="华文仿宋" w:cs="Times New Roman" w:hint="eastAsia"/>
          <w:sz w:val="32"/>
          <w:szCs w:val="32"/>
        </w:rPr>
        <w:t>选用</w:t>
      </w:r>
      <w:r w:rsidR="005C79A6" w:rsidRPr="00EE628C">
        <w:rPr>
          <w:rFonts w:ascii="仿宋_GB2312" w:eastAsia="仿宋_GB2312" w:hAnsi="华文仿宋" w:cs="Times New Roman" w:hint="eastAsia"/>
          <w:sz w:val="32"/>
          <w:szCs w:val="32"/>
        </w:rPr>
        <w:t>药效学</w:t>
      </w:r>
      <w:r w:rsidRPr="00EE628C">
        <w:rPr>
          <w:rFonts w:ascii="仿宋_GB2312" w:eastAsia="仿宋_GB2312" w:hAnsi="华文仿宋" w:cs="Times New Roman" w:hint="eastAsia"/>
          <w:sz w:val="32"/>
          <w:szCs w:val="32"/>
        </w:rPr>
        <w:t>模型动物开展药代动力学研究。</w:t>
      </w:r>
      <w:r w:rsidR="002539E1" w:rsidRPr="00EE628C">
        <w:rPr>
          <w:rFonts w:ascii="仿宋_GB2312" w:eastAsia="仿宋_GB2312" w:hAnsi="华文仿宋" w:cs="Times New Roman" w:hint="eastAsia"/>
          <w:sz w:val="32"/>
          <w:szCs w:val="32"/>
        </w:rPr>
        <w:t>若放诊药物的配体或载体为新结构</w:t>
      </w:r>
      <w:r w:rsidR="002539E1" w:rsidRPr="00EE628C">
        <w:rPr>
          <w:rFonts w:ascii="仿宋_GB2312" w:eastAsia="仿宋_GB2312" w:hAnsi="华文仿宋" w:cs="Times New Roman" w:hint="eastAsia"/>
          <w:sz w:val="32"/>
          <w:szCs w:val="32"/>
        </w:rPr>
        <w:lastRenderedPageBreak/>
        <w:t>化合物</w:t>
      </w:r>
      <w:r w:rsidR="00BB78BA" w:rsidRPr="00EE628C">
        <w:rPr>
          <w:rFonts w:ascii="仿宋_GB2312" w:eastAsia="仿宋_GB2312" w:hAnsi="华文仿宋" w:cs="Times New Roman" w:hint="eastAsia"/>
          <w:sz w:val="32"/>
          <w:szCs w:val="32"/>
        </w:rPr>
        <w:t>，</w:t>
      </w:r>
      <w:r w:rsidR="000A0407" w:rsidRPr="00EE628C">
        <w:rPr>
          <w:rFonts w:ascii="仿宋_GB2312" w:eastAsia="仿宋_GB2312" w:hAnsi="华文仿宋" w:cs="Times New Roman" w:hint="eastAsia"/>
          <w:sz w:val="32"/>
          <w:szCs w:val="32"/>
        </w:rPr>
        <w:t>应考察</w:t>
      </w:r>
      <w:r w:rsidR="00A53CA8" w:rsidRPr="00EE628C">
        <w:rPr>
          <w:rFonts w:ascii="仿宋_GB2312" w:eastAsia="仿宋_GB2312" w:hAnsi="华文仿宋" w:cs="Times New Roman" w:hint="eastAsia"/>
          <w:sz w:val="32"/>
          <w:szCs w:val="32"/>
        </w:rPr>
        <w:t>其</w:t>
      </w:r>
      <w:r w:rsidR="000A0407" w:rsidRPr="00EE628C">
        <w:rPr>
          <w:rFonts w:ascii="仿宋_GB2312" w:eastAsia="仿宋_GB2312" w:hAnsi="华文仿宋" w:cs="Times New Roman" w:hint="eastAsia"/>
          <w:sz w:val="32"/>
          <w:szCs w:val="32"/>
        </w:rPr>
        <w:t>药代</w:t>
      </w:r>
      <w:r w:rsidR="00794FDD" w:rsidRPr="00EE628C">
        <w:rPr>
          <w:rFonts w:ascii="仿宋_GB2312" w:eastAsia="仿宋_GB2312" w:hAnsi="华文仿宋" w:cs="Times New Roman" w:hint="eastAsia"/>
          <w:sz w:val="32"/>
          <w:szCs w:val="32"/>
        </w:rPr>
        <w:t>动力学</w:t>
      </w:r>
      <w:r w:rsidR="00724D21" w:rsidRPr="00EE628C">
        <w:rPr>
          <w:rFonts w:ascii="仿宋_GB2312" w:eastAsia="仿宋_GB2312" w:hAnsi="华文仿宋" w:cs="Times New Roman" w:hint="eastAsia"/>
          <w:sz w:val="32"/>
          <w:szCs w:val="32"/>
        </w:rPr>
        <w:t>/毒代</w:t>
      </w:r>
      <w:r w:rsidR="000A0407" w:rsidRPr="00EE628C">
        <w:rPr>
          <w:rFonts w:ascii="仿宋_GB2312" w:eastAsia="仿宋_GB2312" w:hAnsi="华文仿宋" w:cs="Times New Roman" w:hint="eastAsia"/>
          <w:sz w:val="32"/>
          <w:szCs w:val="32"/>
        </w:rPr>
        <w:t>动力学特征。</w:t>
      </w:r>
    </w:p>
    <w:p w14:paraId="558CF3F8" w14:textId="77777777" w:rsidR="00144587" w:rsidRPr="00EE628C" w:rsidRDefault="00930ECA"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当放诊药物在体内不发生放射性解离时，</w:t>
      </w:r>
      <w:r w:rsidR="00144587" w:rsidRPr="00EE628C">
        <w:rPr>
          <w:rFonts w:ascii="仿宋_GB2312" w:eastAsia="仿宋_GB2312" w:hAnsi="华文仿宋" w:cs="Times New Roman" w:hint="eastAsia"/>
          <w:sz w:val="32"/>
          <w:szCs w:val="32"/>
        </w:rPr>
        <w:t>放诊药物的放射性核素的生物分布数据和不同时间点血液浓度数据（时间点应充分），</w:t>
      </w:r>
      <w:r w:rsidR="005C79A6" w:rsidRPr="00EE628C">
        <w:rPr>
          <w:rFonts w:ascii="仿宋_GB2312" w:eastAsia="仿宋_GB2312" w:hAnsi="华文仿宋" w:cs="Times New Roman" w:hint="eastAsia"/>
          <w:sz w:val="32"/>
          <w:szCs w:val="32"/>
        </w:rPr>
        <w:t>通常</w:t>
      </w:r>
      <w:r w:rsidR="00144587" w:rsidRPr="00EE628C">
        <w:rPr>
          <w:rFonts w:ascii="仿宋_GB2312" w:eastAsia="仿宋_GB2312" w:hAnsi="华文仿宋" w:cs="Times New Roman" w:hint="eastAsia"/>
          <w:sz w:val="32"/>
          <w:szCs w:val="32"/>
        </w:rPr>
        <w:t>可反映</w:t>
      </w:r>
      <w:r w:rsidR="005C79A6" w:rsidRPr="00EE628C">
        <w:rPr>
          <w:rFonts w:ascii="仿宋_GB2312" w:eastAsia="仿宋_GB2312" w:hAnsi="华文仿宋" w:cs="Times New Roman" w:hint="eastAsia"/>
          <w:sz w:val="32"/>
          <w:szCs w:val="32"/>
        </w:rPr>
        <w:t>放诊药物</w:t>
      </w:r>
      <w:r w:rsidR="002620FC" w:rsidRPr="00EE628C">
        <w:rPr>
          <w:rFonts w:ascii="仿宋_GB2312" w:eastAsia="仿宋_GB2312" w:hAnsi="华文仿宋" w:cs="Times New Roman" w:hint="eastAsia"/>
          <w:sz w:val="32"/>
          <w:szCs w:val="32"/>
        </w:rPr>
        <w:t>的</w:t>
      </w:r>
      <w:r w:rsidR="00144587" w:rsidRPr="00EE628C">
        <w:rPr>
          <w:rFonts w:ascii="仿宋_GB2312" w:eastAsia="仿宋_GB2312" w:hAnsi="华文仿宋" w:cs="Times New Roman" w:hint="eastAsia"/>
          <w:sz w:val="32"/>
          <w:szCs w:val="32"/>
        </w:rPr>
        <w:t>系统暴露、在靶器官/非靶器官的暴露以及消除特点。</w:t>
      </w:r>
      <w:r w:rsidR="002620FC" w:rsidRPr="00EE628C">
        <w:rPr>
          <w:rFonts w:ascii="仿宋_GB2312" w:eastAsia="仿宋_GB2312" w:hAnsi="华文仿宋" w:cs="Times New Roman" w:hint="eastAsia"/>
          <w:sz w:val="32"/>
          <w:szCs w:val="32"/>
        </w:rPr>
        <w:t>放诊药物通常使用物理半衰期较短的放射性核素，考察其体内药代</w:t>
      </w:r>
      <w:r w:rsidR="005C79A6" w:rsidRPr="00EE628C">
        <w:rPr>
          <w:rFonts w:ascii="仿宋_GB2312" w:eastAsia="仿宋_GB2312" w:hAnsi="华文仿宋" w:cs="Times New Roman" w:hint="eastAsia"/>
          <w:sz w:val="32"/>
          <w:szCs w:val="32"/>
        </w:rPr>
        <w:t>动力学</w:t>
      </w:r>
      <w:r w:rsidR="002620FC" w:rsidRPr="00EE628C">
        <w:rPr>
          <w:rFonts w:ascii="仿宋_GB2312" w:eastAsia="仿宋_GB2312" w:hAnsi="华文仿宋" w:cs="Times New Roman" w:hint="eastAsia"/>
          <w:sz w:val="32"/>
          <w:szCs w:val="32"/>
        </w:rPr>
        <w:t>特征时应考虑到生物、物理及有效半衰期</w:t>
      </w:r>
      <w:r w:rsidR="00530EB8" w:rsidRPr="00EE628C">
        <w:rPr>
          <w:rFonts w:ascii="仿宋_GB2312" w:eastAsia="仿宋_GB2312" w:hAnsi="华文仿宋" w:cs="Times New Roman" w:hint="eastAsia"/>
          <w:sz w:val="32"/>
          <w:szCs w:val="32"/>
        </w:rPr>
        <w:t>。对药代检测样本的放射性</w:t>
      </w:r>
      <w:r w:rsidR="00821123" w:rsidRPr="00EE628C">
        <w:rPr>
          <w:rFonts w:ascii="仿宋_GB2312" w:eastAsia="仿宋_GB2312" w:hAnsi="华文仿宋" w:cs="Times New Roman" w:hint="eastAsia"/>
          <w:sz w:val="32"/>
          <w:szCs w:val="32"/>
        </w:rPr>
        <w:t>衰变校正方案应与临床</w:t>
      </w:r>
      <w:r w:rsidR="00530EB8" w:rsidRPr="00EE628C">
        <w:rPr>
          <w:rFonts w:ascii="仿宋_GB2312" w:eastAsia="仿宋_GB2312" w:hAnsi="华文仿宋" w:cs="Times New Roman" w:hint="eastAsia"/>
          <w:sz w:val="32"/>
          <w:szCs w:val="32"/>
        </w:rPr>
        <w:t>试验方案</w:t>
      </w:r>
      <w:r w:rsidR="00821123" w:rsidRPr="00EE628C">
        <w:rPr>
          <w:rFonts w:ascii="仿宋_GB2312" w:eastAsia="仿宋_GB2312" w:hAnsi="华文仿宋" w:cs="Times New Roman" w:hint="eastAsia"/>
          <w:sz w:val="32"/>
          <w:szCs w:val="32"/>
        </w:rPr>
        <w:t>保持一致</w:t>
      </w:r>
      <w:r w:rsidR="002620FC" w:rsidRPr="00EE628C">
        <w:rPr>
          <w:rFonts w:ascii="仿宋_GB2312" w:eastAsia="仿宋_GB2312" w:hAnsi="华文仿宋" w:cs="Times New Roman" w:hint="eastAsia"/>
          <w:sz w:val="32"/>
          <w:szCs w:val="32"/>
        </w:rPr>
        <w:t>。</w:t>
      </w:r>
    </w:p>
    <w:p w14:paraId="1B7866F5" w14:textId="77777777" w:rsidR="00144587" w:rsidRPr="00EE628C" w:rsidRDefault="006F375E"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放诊药物的</w:t>
      </w:r>
      <w:r w:rsidR="00144587" w:rsidRPr="00EE628C">
        <w:rPr>
          <w:rFonts w:ascii="仿宋_GB2312" w:eastAsia="仿宋_GB2312" w:hAnsi="华文仿宋" w:cs="Times New Roman" w:hint="eastAsia"/>
          <w:sz w:val="32"/>
          <w:szCs w:val="32"/>
        </w:rPr>
        <w:t>药代</w:t>
      </w:r>
      <w:r w:rsidR="005C79A6" w:rsidRPr="00EE628C">
        <w:rPr>
          <w:rFonts w:ascii="仿宋_GB2312" w:eastAsia="仿宋_GB2312" w:hAnsi="华文仿宋" w:cs="Times New Roman" w:hint="eastAsia"/>
          <w:sz w:val="32"/>
          <w:szCs w:val="32"/>
        </w:rPr>
        <w:t>动力学</w:t>
      </w:r>
      <w:r w:rsidR="00144587" w:rsidRPr="00EE628C">
        <w:rPr>
          <w:rFonts w:ascii="仿宋_GB2312" w:eastAsia="仿宋_GB2312" w:hAnsi="华文仿宋" w:cs="Times New Roman" w:hint="eastAsia"/>
          <w:sz w:val="32"/>
          <w:szCs w:val="32"/>
        </w:rPr>
        <w:t>数据应能</w:t>
      </w:r>
      <w:r w:rsidR="00C35129" w:rsidRPr="00EE628C">
        <w:rPr>
          <w:rFonts w:ascii="仿宋_GB2312" w:eastAsia="仿宋_GB2312" w:hAnsi="华文仿宋" w:cs="Times New Roman" w:hint="eastAsia"/>
          <w:sz w:val="32"/>
          <w:szCs w:val="32"/>
        </w:rPr>
        <w:t>满足</w:t>
      </w:r>
      <w:r w:rsidR="00144587" w:rsidRPr="00EE628C">
        <w:rPr>
          <w:rFonts w:ascii="仿宋_GB2312" w:eastAsia="仿宋_GB2312" w:hAnsi="华文仿宋" w:cs="Times New Roman" w:hint="eastAsia"/>
          <w:sz w:val="32"/>
          <w:szCs w:val="32"/>
        </w:rPr>
        <w:t>组织/全身辐射剂量估算</w:t>
      </w:r>
      <w:r w:rsidR="00C35129" w:rsidRPr="00EE628C">
        <w:rPr>
          <w:rFonts w:ascii="仿宋_GB2312" w:eastAsia="仿宋_GB2312" w:hAnsi="华文仿宋" w:cs="Times New Roman" w:hint="eastAsia"/>
          <w:sz w:val="32"/>
          <w:szCs w:val="32"/>
        </w:rPr>
        <w:t>的要求</w:t>
      </w:r>
      <w:r w:rsidR="00144587" w:rsidRPr="00EE628C">
        <w:rPr>
          <w:rFonts w:ascii="仿宋_GB2312" w:eastAsia="仿宋_GB2312" w:hAnsi="华文仿宋" w:cs="Times New Roman" w:hint="eastAsia"/>
          <w:sz w:val="32"/>
          <w:szCs w:val="32"/>
        </w:rPr>
        <w:t>。</w:t>
      </w:r>
    </w:p>
    <w:p w14:paraId="75129420" w14:textId="77777777" w:rsidR="003D1D89"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18" w:name="_Toc46214310"/>
      <w:bookmarkStart w:id="19" w:name="_Toc49175035"/>
      <w:r w:rsidRPr="00E9542C">
        <w:rPr>
          <w:rFonts w:ascii="仿宋_GB2312" w:eastAsia="仿宋_GB2312" w:hAnsi="华文仿宋" w:cs="Times New Roman" w:hint="eastAsia"/>
          <w:sz w:val="32"/>
          <w:szCs w:val="32"/>
        </w:rPr>
        <w:t>（三）</w:t>
      </w:r>
      <w:r w:rsidR="006B4392" w:rsidRPr="00E9542C">
        <w:rPr>
          <w:rFonts w:ascii="仿宋_GB2312" w:eastAsia="仿宋_GB2312" w:hAnsi="华文仿宋" w:cs="Times New Roman" w:hint="eastAsia"/>
          <w:sz w:val="32"/>
          <w:szCs w:val="32"/>
        </w:rPr>
        <w:t>毒理学</w:t>
      </w:r>
      <w:r w:rsidR="004923CC" w:rsidRPr="00E9542C">
        <w:rPr>
          <w:rFonts w:ascii="仿宋_GB2312" w:eastAsia="仿宋_GB2312" w:hAnsi="华文仿宋" w:cs="Times New Roman" w:hint="eastAsia"/>
          <w:sz w:val="32"/>
          <w:szCs w:val="32"/>
        </w:rPr>
        <w:t>研究</w:t>
      </w:r>
      <w:bookmarkEnd w:id="18"/>
      <w:bookmarkEnd w:id="19"/>
    </w:p>
    <w:p w14:paraId="64C988A2" w14:textId="6905CF6B" w:rsidR="003D1D89" w:rsidRPr="00EE628C" w:rsidRDefault="00794FDD" w:rsidP="00E9542C">
      <w:pPr>
        <w:spacing w:line="360" w:lineRule="auto"/>
        <w:ind w:firstLineChars="200" w:firstLine="640"/>
        <w:rPr>
          <w:rFonts w:ascii="仿宋_GB2312" w:eastAsia="仿宋_GB2312" w:hAnsi="华文仿宋" w:cs="Times New Roman"/>
          <w:sz w:val="32"/>
          <w:szCs w:val="32"/>
        </w:rPr>
      </w:pPr>
      <w:bookmarkStart w:id="20" w:name="_Toc46214311"/>
      <w:r w:rsidRPr="00EE628C">
        <w:rPr>
          <w:rFonts w:ascii="仿宋_GB2312" w:eastAsia="仿宋_GB2312" w:hAnsi="华文仿宋" w:cs="Times New Roman" w:hint="eastAsia"/>
          <w:sz w:val="32"/>
          <w:szCs w:val="32"/>
        </w:rPr>
        <w:t>毒理学</w:t>
      </w:r>
      <w:r w:rsidR="00541DC9" w:rsidRPr="00EE628C">
        <w:rPr>
          <w:rFonts w:ascii="仿宋_GB2312" w:eastAsia="仿宋_GB2312" w:hAnsi="华文仿宋" w:cs="Times New Roman" w:hint="eastAsia"/>
          <w:sz w:val="32"/>
          <w:szCs w:val="32"/>
        </w:rPr>
        <w:t>研究应遵循《药物非临床研究质量管理规范》的要求</w:t>
      </w:r>
      <w:r w:rsidR="009214B8" w:rsidRPr="00EE628C">
        <w:rPr>
          <w:rFonts w:ascii="仿宋_GB2312" w:eastAsia="仿宋_GB2312" w:hAnsi="华文仿宋" w:cs="Times New Roman" w:hint="eastAsia"/>
          <w:sz w:val="32"/>
          <w:szCs w:val="32"/>
        </w:rPr>
        <w:t>。</w:t>
      </w:r>
      <w:r w:rsidR="009214B8">
        <w:rPr>
          <w:rFonts w:ascii="仿宋_GB2312" w:eastAsia="仿宋_GB2312" w:hAnsi="华文仿宋" w:cs="Times New Roman" w:hint="eastAsia"/>
          <w:sz w:val="32"/>
          <w:szCs w:val="32"/>
        </w:rPr>
        <w:t>毒理学研究</w:t>
      </w:r>
      <w:r w:rsidR="009214B8" w:rsidRPr="00EE628C">
        <w:rPr>
          <w:rFonts w:ascii="仿宋_GB2312" w:eastAsia="仿宋_GB2312" w:hAnsi="华文仿宋" w:cs="Times New Roman" w:hint="eastAsia"/>
          <w:sz w:val="32"/>
          <w:szCs w:val="32"/>
        </w:rPr>
        <w:t>的策略和阶段性要求</w:t>
      </w:r>
      <w:r w:rsidR="003F1BAC">
        <w:rPr>
          <w:rFonts w:ascii="仿宋_GB2312" w:eastAsia="仿宋_GB2312" w:hAnsi="华文仿宋" w:cs="Times New Roman" w:hint="eastAsia"/>
          <w:sz w:val="32"/>
          <w:szCs w:val="32"/>
        </w:rPr>
        <w:t>参考</w:t>
      </w:r>
      <w:r w:rsidR="009214B8" w:rsidRPr="00EE628C">
        <w:rPr>
          <w:rFonts w:ascii="仿宋_GB2312" w:eastAsia="仿宋_GB2312" w:hAnsi="华文仿宋" w:cs="Times New Roman" w:hint="eastAsia"/>
          <w:sz w:val="32"/>
          <w:szCs w:val="32"/>
        </w:rPr>
        <w:t>国际人用药品注册技术协调会（ICH）的指导原则《支持药物进行临床试验和上市的非临床安全性研究指导原则》[M3（R2）]要求。</w:t>
      </w:r>
      <w:r w:rsidR="00541DC9" w:rsidRPr="00EE628C">
        <w:rPr>
          <w:rFonts w:ascii="仿宋_GB2312" w:eastAsia="仿宋_GB2312" w:hAnsi="华文仿宋" w:cs="Times New Roman" w:hint="eastAsia"/>
          <w:sz w:val="32"/>
          <w:szCs w:val="32"/>
        </w:rPr>
        <w:t>若放诊药物的配体</w:t>
      </w:r>
      <w:r w:rsidR="00236B6C" w:rsidRPr="00EE628C">
        <w:rPr>
          <w:rFonts w:ascii="仿宋_GB2312" w:eastAsia="仿宋_GB2312" w:hAnsi="华文仿宋" w:cs="Times New Roman" w:hint="eastAsia"/>
          <w:sz w:val="32"/>
          <w:szCs w:val="32"/>
        </w:rPr>
        <w:t>或</w:t>
      </w:r>
      <w:r w:rsidR="00541DC9" w:rsidRPr="00EE628C">
        <w:rPr>
          <w:rFonts w:ascii="仿宋_GB2312" w:eastAsia="仿宋_GB2312" w:hAnsi="华文仿宋" w:cs="Times New Roman" w:hint="eastAsia"/>
          <w:sz w:val="32"/>
          <w:szCs w:val="32"/>
        </w:rPr>
        <w:t>载体已有人用经验，</w:t>
      </w:r>
      <w:r w:rsidR="003F1BAC">
        <w:rPr>
          <w:rFonts w:ascii="仿宋_GB2312" w:eastAsia="仿宋_GB2312" w:hAnsi="华文仿宋" w:cs="Times New Roman" w:hint="eastAsia"/>
          <w:sz w:val="32"/>
          <w:szCs w:val="32"/>
        </w:rPr>
        <w:t>例如</w:t>
      </w:r>
      <w:r w:rsidR="00541DC9" w:rsidRPr="00EE628C">
        <w:rPr>
          <w:rFonts w:ascii="仿宋_GB2312" w:eastAsia="仿宋_GB2312" w:hAnsi="华文仿宋" w:cs="Times New Roman" w:hint="eastAsia"/>
          <w:sz w:val="32"/>
          <w:szCs w:val="32"/>
        </w:rPr>
        <w:t>已作为药品上市或作为其他已上市放射性药物的</w:t>
      </w:r>
      <w:r w:rsidR="00236B6C" w:rsidRPr="00EE628C">
        <w:rPr>
          <w:rFonts w:ascii="仿宋_GB2312" w:eastAsia="仿宋_GB2312" w:hAnsi="华文仿宋" w:cs="Times New Roman" w:hint="eastAsia"/>
          <w:sz w:val="32"/>
          <w:szCs w:val="32"/>
        </w:rPr>
        <w:t>配体或载体</w:t>
      </w:r>
      <w:r w:rsidR="00541DC9" w:rsidRPr="00EE628C">
        <w:rPr>
          <w:rFonts w:ascii="仿宋_GB2312" w:eastAsia="仿宋_GB2312" w:hAnsi="华文仿宋" w:cs="Times New Roman" w:hint="eastAsia"/>
          <w:sz w:val="32"/>
          <w:szCs w:val="32"/>
        </w:rPr>
        <w:t>，应提供其已有的非临床及人体安全性信息。</w:t>
      </w:r>
    </w:p>
    <w:p w14:paraId="228B962E" w14:textId="5C6B781F" w:rsidR="003D1D89"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21" w:name="_Toc46214312"/>
      <w:bookmarkStart w:id="22" w:name="_Toc49175036"/>
      <w:bookmarkEnd w:id="20"/>
      <w:r w:rsidRPr="00E9542C">
        <w:rPr>
          <w:rFonts w:ascii="仿宋_GB2312" w:eastAsia="仿宋_GB2312" w:hAnsi="华文仿宋" w:cs="Times New Roman" w:hint="eastAsia"/>
          <w:sz w:val="32"/>
          <w:szCs w:val="32"/>
        </w:rPr>
        <w:t>1</w:t>
      </w:r>
      <w:r w:rsidR="00A12EE8">
        <w:rPr>
          <w:rFonts w:ascii="仿宋_GB2312" w:eastAsia="仿宋_GB2312" w:hAnsi="华文仿宋" w:cs="Times New Roman" w:hint="eastAsia"/>
          <w:sz w:val="32"/>
          <w:szCs w:val="32"/>
        </w:rPr>
        <w:t>.</w:t>
      </w:r>
      <w:r w:rsidR="00156BF4" w:rsidRPr="00E9542C">
        <w:rPr>
          <w:rFonts w:ascii="仿宋_GB2312" w:eastAsia="仿宋_GB2312" w:hAnsi="华文仿宋" w:cs="Times New Roman" w:hint="eastAsia"/>
          <w:sz w:val="32"/>
          <w:szCs w:val="32"/>
        </w:rPr>
        <w:t>安全药理学试验</w:t>
      </w:r>
      <w:bookmarkEnd w:id="21"/>
      <w:bookmarkEnd w:id="22"/>
    </w:p>
    <w:p w14:paraId="600D28B1" w14:textId="77777777" w:rsidR="003D1D89" w:rsidRPr="00EE628C" w:rsidRDefault="00F9226E"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建议</w:t>
      </w:r>
      <w:r w:rsidR="00156BF4" w:rsidRPr="00EE628C">
        <w:rPr>
          <w:rFonts w:ascii="仿宋_GB2312" w:eastAsia="仿宋_GB2312" w:hAnsi="华文仿宋" w:cs="Times New Roman" w:hint="eastAsia"/>
          <w:sz w:val="32"/>
          <w:szCs w:val="32"/>
        </w:rPr>
        <w:t xml:space="preserve">参考ICH </w:t>
      </w:r>
      <w:r w:rsidR="005E4C10" w:rsidRPr="00EE628C">
        <w:rPr>
          <w:rFonts w:ascii="仿宋_GB2312" w:eastAsia="仿宋_GB2312" w:hAnsi="华文仿宋" w:cs="Times New Roman" w:hint="eastAsia"/>
          <w:sz w:val="32"/>
          <w:szCs w:val="32"/>
        </w:rPr>
        <w:t>指导原则《人用药品安全药理学试验指导原则》（S7A）</w:t>
      </w:r>
      <w:r w:rsidR="00156BF4" w:rsidRPr="00EE628C">
        <w:rPr>
          <w:rFonts w:ascii="仿宋_GB2312" w:eastAsia="仿宋_GB2312" w:hAnsi="华文仿宋" w:cs="Times New Roman" w:hint="eastAsia"/>
          <w:sz w:val="32"/>
          <w:szCs w:val="32"/>
        </w:rPr>
        <w:t>、</w:t>
      </w:r>
      <w:r w:rsidR="005E4C10" w:rsidRPr="00EE628C">
        <w:rPr>
          <w:rFonts w:ascii="仿宋_GB2312" w:eastAsia="仿宋_GB2312" w:hAnsi="华文仿宋" w:cs="Times New Roman" w:hint="eastAsia"/>
          <w:sz w:val="32"/>
          <w:szCs w:val="32"/>
        </w:rPr>
        <w:t>《人用药品延迟心室复极化（QT间期延长）潜在作用的非临床评价指导原则》（S7B）</w:t>
      </w:r>
      <w:r w:rsidRPr="00EE628C">
        <w:rPr>
          <w:rFonts w:ascii="仿宋_GB2312" w:eastAsia="仿宋_GB2312" w:hAnsi="华文仿宋" w:cs="Times New Roman" w:hint="eastAsia"/>
          <w:sz w:val="32"/>
          <w:szCs w:val="32"/>
        </w:rPr>
        <w:t>开展安全药理学研</w:t>
      </w:r>
      <w:r w:rsidRPr="00EE628C">
        <w:rPr>
          <w:rFonts w:ascii="仿宋_GB2312" w:eastAsia="仿宋_GB2312" w:hAnsi="华文仿宋" w:cs="Times New Roman" w:hint="eastAsia"/>
          <w:sz w:val="32"/>
          <w:szCs w:val="32"/>
        </w:rPr>
        <w:lastRenderedPageBreak/>
        <w:t>究</w:t>
      </w:r>
      <w:r w:rsidR="00156BF4" w:rsidRPr="00EE628C">
        <w:rPr>
          <w:rFonts w:ascii="仿宋_GB2312" w:eastAsia="仿宋_GB2312" w:hAnsi="华文仿宋" w:cs="Times New Roman" w:hint="eastAsia"/>
          <w:sz w:val="32"/>
          <w:szCs w:val="32"/>
        </w:rPr>
        <w:t>。</w:t>
      </w:r>
    </w:p>
    <w:p w14:paraId="73DF012A" w14:textId="5FD4CF88" w:rsidR="003D1D89"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23" w:name="_Toc46214313"/>
      <w:bookmarkStart w:id="24" w:name="_Toc49175037"/>
      <w:r w:rsidRPr="00E9542C">
        <w:rPr>
          <w:rFonts w:ascii="仿宋_GB2312" w:eastAsia="仿宋_GB2312" w:hAnsi="华文仿宋" w:cs="Times New Roman" w:hint="eastAsia"/>
          <w:sz w:val="32"/>
          <w:szCs w:val="32"/>
        </w:rPr>
        <w:t>2</w:t>
      </w:r>
      <w:r w:rsidR="00A12EE8">
        <w:rPr>
          <w:rFonts w:ascii="仿宋_GB2312" w:eastAsia="仿宋_GB2312" w:hAnsi="华文仿宋" w:cs="Times New Roman" w:hint="eastAsia"/>
          <w:sz w:val="32"/>
          <w:szCs w:val="32"/>
        </w:rPr>
        <w:t>.</w:t>
      </w:r>
      <w:r w:rsidR="00156BF4" w:rsidRPr="00E9542C">
        <w:rPr>
          <w:rFonts w:ascii="仿宋_GB2312" w:eastAsia="仿宋_GB2312" w:hAnsi="华文仿宋" w:cs="Times New Roman" w:hint="eastAsia"/>
          <w:sz w:val="32"/>
          <w:szCs w:val="32"/>
        </w:rPr>
        <w:t>单次</w:t>
      </w:r>
      <w:r w:rsidR="006403DD" w:rsidRPr="00E9542C">
        <w:rPr>
          <w:rFonts w:ascii="仿宋_GB2312" w:eastAsia="仿宋_GB2312" w:hAnsi="华文仿宋" w:cs="Times New Roman" w:hint="eastAsia"/>
          <w:sz w:val="32"/>
          <w:szCs w:val="32"/>
        </w:rPr>
        <w:t>给药</w:t>
      </w:r>
      <w:r w:rsidR="00A41B66" w:rsidRPr="00E9542C">
        <w:rPr>
          <w:rFonts w:ascii="仿宋_GB2312" w:eastAsia="仿宋_GB2312" w:hAnsi="华文仿宋" w:cs="Times New Roman" w:hint="eastAsia"/>
          <w:sz w:val="32"/>
          <w:szCs w:val="32"/>
        </w:rPr>
        <w:t>毒性试验</w:t>
      </w:r>
      <w:bookmarkEnd w:id="23"/>
      <w:bookmarkEnd w:id="24"/>
    </w:p>
    <w:p w14:paraId="4D3C938E" w14:textId="77777777" w:rsidR="003D1D89" w:rsidRPr="00EE628C" w:rsidRDefault="00A41B66"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应采用临床拟用途径开展单次给药毒性试验。</w:t>
      </w:r>
    </w:p>
    <w:p w14:paraId="27F58C9F" w14:textId="077E999A" w:rsidR="007D2B4A" w:rsidRPr="00EE628C" w:rsidRDefault="00FB21C8"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若</w:t>
      </w:r>
      <w:r w:rsidR="00E61927" w:rsidRPr="00EE628C">
        <w:rPr>
          <w:rFonts w:ascii="仿宋_GB2312" w:eastAsia="仿宋_GB2312" w:hAnsi="华文仿宋" w:cs="Times New Roman" w:hint="eastAsia"/>
          <w:sz w:val="32"/>
          <w:szCs w:val="32"/>
        </w:rPr>
        <w:t>放诊药物在临床上拟仅单次低剂量给药，</w:t>
      </w:r>
      <w:r w:rsidR="001227B5" w:rsidRPr="00EE628C">
        <w:rPr>
          <w:rFonts w:ascii="仿宋_GB2312" w:eastAsia="仿宋_GB2312" w:hAnsi="华文仿宋" w:cs="Times New Roman" w:hint="eastAsia"/>
          <w:sz w:val="32"/>
          <w:szCs w:val="32"/>
        </w:rPr>
        <w:t>则</w:t>
      </w:r>
      <w:r w:rsidR="003F1BAC">
        <w:rPr>
          <w:rFonts w:ascii="仿宋_GB2312" w:eastAsia="仿宋_GB2312" w:hAnsi="华文仿宋" w:cs="Times New Roman" w:hint="eastAsia"/>
          <w:sz w:val="32"/>
          <w:szCs w:val="32"/>
        </w:rPr>
        <w:t>可用</w:t>
      </w:r>
      <w:r w:rsidR="00A41B66" w:rsidRPr="00EE628C">
        <w:rPr>
          <w:rFonts w:ascii="仿宋_GB2312" w:eastAsia="仿宋_GB2312" w:hAnsi="华文仿宋" w:cs="Times New Roman" w:hint="eastAsia"/>
          <w:sz w:val="32"/>
          <w:szCs w:val="32"/>
        </w:rPr>
        <w:t>扩</w:t>
      </w:r>
      <w:r w:rsidR="00A36B97" w:rsidRPr="00EE628C">
        <w:rPr>
          <w:rFonts w:ascii="仿宋_GB2312" w:eastAsia="仿宋_GB2312" w:hAnsi="华文仿宋" w:cs="Times New Roman" w:hint="eastAsia"/>
          <w:sz w:val="32"/>
          <w:szCs w:val="32"/>
        </w:rPr>
        <w:t>展</w:t>
      </w:r>
      <w:r w:rsidR="00A41B66" w:rsidRPr="00EE628C">
        <w:rPr>
          <w:rFonts w:ascii="仿宋_GB2312" w:eastAsia="仿宋_GB2312" w:hAnsi="华文仿宋" w:cs="Times New Roman" w:hint="eastAsia"/>
          <w:sz w:val="32"/>
          <w:szCs w:val="32"/>
        </w:rPr>
        <w:t>的单次给药毒性试验</w:t>
      </w:r>
      <w:r w:rsidR="00D02FEE" w:rsidRPr="00EE628C">
        <w:rPr>
          <w:rFonts w:ascii="仿宋_GB2312" w:eastAsia="仿宋_GB2312" w:hAnsi="华文仿宋" w:cs="Times New Roman" w:hint="eastAsia"/>
          <w:sz w:val="32"/>
          <w:szCs w:val="32"/>
        </w:rPr>
        <w:t>代替常规的重复给药毒性试验，</w:t>
      </w:r>
      <w:r w:rsidR="003F1BAC" w:rsidRPr="00EE628C">
        <w:rPr>
          <w:rFonts w:ascii="仿宋_GB2312" w:eastAsia="仿宋_GB2312" w:hAnsi="华文仿宋" w:cs="Times New Roman" w:hint="eastAsia"/>
          <w:sz w:val="32"/>
          <w:szCs w:val="32"/>
        </w:rPr>
        <w:t>用</w:t>
      </w:r>
      <w:r w:rsidR="003F1BAC">
        <w:rPr>
          <w:rFonts w:ascii="仿宋_GB2312" w:eastAsia="仿宋_GB2312" w:hAnsi="华文仿宋" w:cs="Times New Roman" w:hint="eastAsia"/>
          <w:sz w:val="32"/>
          <w:szCs w:val="32"/>
        </w:rPr>
        <w:t>于</w:t>
      </w:r>
      <w:r w:rsidR="00A41B66" w:rsidRPr="00EE628C">
        <w:rPr>
          <w:rFonts w:ascii="仿宋_GB2312" w:eastAsia="仿宋_GB2312" w:hAnsi="华文仿宋" w:cs="Times New Roman" w:hint="eastAsia"/>
          <w:sz w:val="32"/>
          <w:szCs w:val="32"/>
        </w:rPr>
        <w:t>支持</w:t>
      </w:r>
      <w:r w:rsidR="00E559EE" w:rsidRPr="00EE628C">
        <w:rPr>
          <w:rFonts w:ascii="仿宋_GB2312" w:eastAsia="仿宋_GB2312" w:hAnsi="华文仿宋" w:cs="Times New Roman" w:hint="eastAsia"/>
          <w:sz w:val="32"/>
          <w:szCs w:val="32"/>
        </w:rPr>
        <w:t>单次给药的</w:t>
      </w:r>
      <w:r w:rsidR="00A41B66" w:rsidRPr="00EE628C">
        <w:rPr>
          <w:rFonts w:ascii="仿宋_GB2312" w:eastAsia="仿宋_GB2312" w:hAnsi="华文仿宋" w:cs="Times New Roman" w:hint="eastAsia"/>
          <w:sz w:val="32"/>
          <w:szCs w:val="32"/>
        </w:rPr>
        <w:t>Ⅰ期临床试验</w:t>
      </w:r>
      <w:r w:rsidR="00A36B97" w:rsidRPr="00EE628C">
        <w:rPr>
          <w:rFonts w:ascii="仿宋_GB2312" w:eastAsia="仿宋_GB2312" w:hAnsi="华文仿宋" w:cs="Times New Roman" w:hint="eastAsia"/>
          <w:sz w:val="32"/>
          <w:szCs w:val="32"/>
        </w:rPr>
        <w:t>申请。扩展</w:t>
      </w:r>
      <w:r w:rsidR="00A41B66" w:rsidRPr="00EE628C">
        <w:rPr>
          <w:rFonts w:ascii="仿宋_GB2312" w:eastAsia="仿宋_GB2312" w:hAnsi="华文仿宋" w:cs="Times New Roman" w:hint="eastAsia"/>
          <w:sz w:val="32"/>
          <w:szCs w:val="32"/>
        </w:rPr>
        <w:t>的单次给药毒性试验受试物应采用</w:t>
      </w:r>
      <w:r w:rsidRPr="00EE628C">
        <w:rPr>
          <w:rFonts w:ascii="仿宋_GB2312" w:eastAsia="仿宋_GB2312" w:hAnsi="华文仿宋" w:cs="Times New Roman" w:hint="eastAsia"/>
          <w:sz w:val="32"/>
          <w:szCs w:val="32"/>
        </w:rPr>
        <w:t>临床试验拟用样品（即具有放射性的放诊药物）</w:t>
      </w:r>
      <w:r w:rsidR="00A41B66" w:rsidRPr="00EE628C">
        <w:rPr>
          <w:rFonts w:ascii="仿宋_GB2312" w:eastAsia="仿宋_GB2312" w:hAnsi="华文仿宋" w:cs="Times New Roman" w:hint="eastAsia"/>
          <w:sz w:val="32"/>
          <w:szCs w:val="32"/>
        </w:rPr>
        <w:t>，</w:t>
      </w:r>
      <w:r w:rsidR="00AE5246" w:rsidRPr="00EE628C">
        <w:rPr>
          <w:rFonts w:ascii="仿宋_GB2312" w:eastAsia="仿宋_GB2312" w:hAnsi="华文仿宋" w:cs="Times New Roman" w:hint="eastAsia"/>
          <w:sz w:val="32"/>
          <w:szCs w:val="32"/>
        </w:rPr>
        <w:t>参考重复</w:t>
      </w:r>
      <w:r w:rsidRPr="00EE628C">
        <w:rPr>
          <w:rFonts w:ascii="仿宋_GB2312" w:eastAsia="仿宋_GB2312" w:hAnsi="华文仿宋" w:cs="Times New Roman" w:hint="eastAsia"/>
          <w:sz w:val="32"/>
          <w:szCs w:val="32"/>
        </w:rPr>
        <w:t>给药</w:t>
      </w:r>
      <w:r w:rsidR="00AE5246" w:rsidRPr="00EE628C">
        <w:rPr>
          <w:rFonts w:ascii="仿宋_GB2312" w:eastAsia="仿宋_GB2312" w:hAnsi="华文仿宋" w:cs="Times New Roman" w:hint="eastAsia"/>
          <w:sz w:val="32"/>
          <w:szCs w:val="32"/>
        </w:rPr>
        <w:t>毒性试验的指导原则要求进行试验设计，</w:t>
      </w:r>
      <w:r w:rsidR="003F1BAC">
        <w:rPr>
          <w:rFonts w:ascii="仿宋_GB2312" w:eastAsia="仿宋_GB2312" w:hAnsi="华文仿宋" w:cs="Times New Roman" w:hint="eastAsia"/>
          <w:sz w:val="32"/>
          <w:szCs w:val="32"/>
        </w:rPr>
        <w:t>并</w:t>
      </w:r>
      <w:r w:rsidRPr="00EE628C">
        <w:rPr>
          <w:rFonts w:ascii="仿宋_GB2312" w:eastAsia="仿宋_GB2312" w:hAnsi="华文仿宋" w:cs="Times New Roman" w:hint="eastAsia"/>
          <w:sz w:val="32"/>
          <w:szCs w:val="32"/>
        </w:rPr>
        <w:t>建议</w:t>
      </w:r>
      <w:r w:rsidR="00AE5246" w:rsidRPr="00EE628C">
        <w:rPr>
          <w:rFonts w:ascii="仿宋_GB2312" w:eastAsia="仿宋_GB2312" w:hAnsi="华文仿宋" w:cs="Times New Roman" w:hint="eastAsia"/>
          <w:sz w:val="32"/>
          <w:szCs w:val="32"/>
        </w:rPr>
        <w:t>重点</w:t>
      </w:r>
      <w:r w:rsidR="00FB7CFB" w:rsidRPr="00EE628C">
        <w:rPr>
          <w:rFonts w:ascii="仿宋_GB2312" w:eastAsia="仿宋_GB2312" w:hAnsi="华文仿宋" w:cs="Times New Roman" w:hint="eastAsia"/>
          <w:sz w:val="32"/>
          <w:szCs w:val="32"/>
        </w:rPr>
        <w:t>关注</w:t>
      </w:r>
      <w:r w:rsidR="00AE5246" w:rsidRPr="00EE628C">
        <w:rPr>
          <w:rFonts w:ascii="仿宋_GB2312" w:eastAsia="仿宋_GB2312" w:hAnsi="华文仿宋" w:cs="Times New Roman" w:hint="eastAsia"/>
          <w:sz w:val="32"/>
          <w:szCs w:val="32"/>
        </w:rPr>
        <w:t>对辐射敏感的检测指标（如血液学、骨髓、生殖器官等），根据</w:t>
      </w:r>
      <w:r w:rsidRPr="00EE628C">
        <w:rPr>
          <w:rFonts w:ascii="仿宋_GB2312" w:eastAsia="仿宋_GB2312" w:hAnsi="华文仿宋" w:cs="Times New Roman" w:hint="eastAsia"/>
          <w:sz w:val="32"/>
          <w:szCs w:val="32"/>
        </w:rPr>
        <w:t>受试物的特点</w:t>
      </w:r>
      <w:r w:rsidR="00AE5246" w:rsidRPr="00EE628C">
        <w:rPr>
          <w:rFonts w:ascii="仿宋_GB2312" w:eastAsia="仿宋_GB2312" w:hAnsi="华文仿宋" w:cs="Times New Roman" w:hint="eastAsia"/>
          <w:sz w:val="32"/>
          <w:szCs w:val="32"/>
        </w:rPr>
        <w:t>考虑增加</w:t>
      </w:r>
      <w:r w:rsidR="009010B0" w:rsidRPr="00EE628C">
        <w:rPr>
          <w:rFonts w:ascii="仿宋_GB2312" w:eastAsia="仿宋_GB2312" w:hAnsi="华文仿宋" w:cs="Times New Roman" w:hint="eastAsia"/>
          <w:sz w:val="32"/>
          <w:szCs w:val="32"/>
        </w:rPr>
        <w:t>检测频率、延长观察周期，</w:t>
      </w:r>
      <w:r w:rsidR="00432F00" w:rsidRPr="00EE628C">
        <w:rPr>
          <w:rFonts w:ascii="仿宋_GB2312" w:eastAsia="仿宋_GB2312" w:hAnsi="华文仿宋" w:cs="Times New Roman" w:hint="eastAsia"/>
          <w:sz w:val="32"/>
          <w:szCs w:val="32"/>
        </w:rPr>
        <w:t>给药剂量应注明相应的质量剂量、放射性剂量。</w:t>
      </w:r>
    </w:p>
    <w:p w14:paraId="12208808" w14:textId="4BC5EAC8" w:rsidR="003D1D89"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25" w:name="_Toc46214314"/>
      <w:bookmarkStart w:id="26" w:name="_Toc49175038"/>
      <w:r w:rsidRPr="00E9542C">
        <w:rPr>
          <w:rFonts w:ascii="仿宋_GB2312" w:eastAsia="仿宋_GB2312" w:hAnsi="华文仿宋" w:cs="Times New Roman" w:hint="eastAsia"/>
          <w:sz w:val="32"/>
          <w:szCs w:val="32"/>
        </w:rPr>
        <w:t>3</w:t>
      </w:r>
      <w:r w:rsidR="00A12EE8">
        <w:rPr>
          <w:rFonts w:ascii="仿宋_GB2312" w:eastAsia="仿宋_GB2312" w:hAnsi="华文仿宋" w:cs="Times New Roman" w:hint="eastAsia"/>
          <w:sz w:val="32"/>
          <w:szCs w:val="32"/>
        </w:rPr>
        <w:t>.</w:t>
      </w:r>
      <w:r w:rsidR="00B55ABB" w:rsidRPr="00E9542C">
        <w:rPr>
          <w:rFonts w:ascii="仿宋_GB2312" w:eastAsia="仿宋_GB2312" w:hAnsi="华文仿宋" w:cs="Times New Roman" w:hint="eastAsia"/>
          <w:sz w:val="32"/>
          <w:szCs w:val="32"/>
        </w:rPr>
        <w:t>重复给药毒性试验</w:t>
      </w:r>
      <w:bookmarkEnd w:id="25"/>
      <w:bookmarkEnd w:id="26"/>
    </w:p>
    <w:p w14:paraId="050F4D56" w14:textId="77777777" w:rsidR="003D1D89" w:rsidRPr="00EE628C" w:rsidRDefault="00A36B97"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应采用临床拟用途径开展重复给药毒性试验</w:t>
      </w:r>
      <w:r w:rsidR="00684F8A" w:rsidRPr="00EE628C">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给药周期可参考ICH M3（R2）的要求</w:t>
      </w:r>
      <w:r w:rsidR="008A7268" w:rsidRPr="00EE628C">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原则上应采用两种动物种属</w:t>
      </w:r>
      <w:r w:rsidR="008A78F2" w:rsidRPr="00EE628C">
        <w:rPr>
          <w:rFonts w:ascii="仿宋_GB2312" w:eastAsia="仿宋_GB2312" w:hAnsi="华文仿宋" w:cs="Times New Roman" w:hint="eastAsia"/>
          <w:sz w:val="32"/>
          <w:szCs w:val="32"/>
        </w:rPr>
        <w:t>开展</w:t>
      </w:r>
      <w:r w:rsidR="008A7268" w:rsidRPr="00EE628C">
        <w:rPr>
          <w:rFonts w:ascii="仿宋_GB2312" w:eastAsia="仿宋_GB2312" w:hAnsi="华文仿宋" w:cs="Times New Roman" w:hint="eastAsia"/>
          <w:sz w:val="32"/>
          <w:szCs w:val="32"/>
        </w:rPr>
        <w:t>试验，</w:t>
      </w:r>
      <w:r w:rsidR="0017551E" w:rsidRPr="00EE628C">
        <w:rPr>
          <w:rFonts w:ascii="仿宋_GB2312" w:eastAsia="仿宋_GB2312" w:hAnsi="华文仿宋" w:cs="Times New Roman" w:hint="eastAsia"/>
          <w:sz w:val="32"/>
          <w:szCs w:val="32"/>
        </w:rPr>
        <w:t>通常一种为啮齿类动物，一种为非啮齿类动物</w:t>
      </w:r>
      <w:r w:rsidRPr="00EE628C">
        <w:rPr>
          <w:rFonts w:ascii="仿宋_GB2312" w:eastAsia="仿宋_GB2312" w:hAnsi="华文仿宋" w:cs="Times New Roman" w:hint="eastAsia"/>
          <w:sz w:val="32"/>
          <w:szCs w:val="32"/>
        </w:rPr>
        <w:t>。</w:t>
      </w:r>
      <w:r w:rsidR="007C3180" w:rsidRPr="00EE628C">
        <w:rPr>
          <w:rFonts w:ascii="仿宋_GB2312" w:eastAsia="仿宋_GB2312" w:hAnsi="华文仿宋" w:cs="Times New Roman" w:hint="eastAsia"/>
          <w:sz w:val="32"/>
          <w:szCs w:val="32"/>
        </w:rPr>
        <w:t>当放诊药物在体内存留时间较长时，毒理学试验的观察周期也应相应地延长。</w:t>
      </w:r>
    </w:p>
    <w:p w14:paraId="37169916" w14:textId="7C750584" w:rsidR="003D1D89" w:rsidRPr="00EE628C" w:rsidRDefault="00CA000F"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如果</w:t>
      </w:r>
      <w:r w:rsidR="00A36B97" w:rsidRPr="00EE628C">
        <w:rPr>
          <w:rFonts w:ascii="仿宋_GB2312" w:eastAsia="仿宋_GB2312" w:hAnsi="华文仿宋" w:cs="Times New Roman" w:hint="eastAsia"/>
          <w:sz w:val="32"/>
          <w:szCs w:val="32"/>
        </w:rPr>
        <w:t>放诊药物采用已有临床使用经验的放射性核素，</w:t>
      </w:r>
      <w:r w:rsidR="00D16816" w:rsidRPr="00EE628C">
        <w:rPr>
          <w:rFonts w:ascii="仿宋_GB2312" w:eastAsia="仿宋_GB2312" w:hAnsi="华文仿宋" w:cs="Times New Roman" w:hint="eastAsia"/>
          <w:sz w:val="32"/>
          <w:szCs w:val="32"/>
        </w:rPr>
        <w:t>一般可采用不具有放射性的受试物开展试验，</w:t>
      </w:r>
      <w:r w:rsidR="003F1BAC">
        <w:rPr>
          <w:rFonts w:ascii="仿宋_GB2312" w:eastAsia="仿宋_GB2312" w:hAnsi="华文仿宋" w:cs="Times New Roman" w:hint="eastAsia"/>
          <w:sz w:val="32"/>
          <w:szCs w:val="32"/>
        </w:rPr>
        <w:t>例如</w:t>
      </w:r>
      <w:r w:rsidR="00D16816" w:rsidRPr="00EE628C">
        <w:rPr>
          <w:rFonts w:ascii="仿宋_GB2312" w:eastAsia="仿宋_GB2312" w:hAnsi="华文仿宋" w:cs="Times New Roman" w:hint="eastAsia"/>
          <w:sz w:val="32"/>
          <w:szCs w:val="32"/>
        </w:rPr>
        <w:t>用稳定同位素标记的受试物、放诊药物经衰变后的产物等</w:t>
      </w:r>
      <w:r w:rsidR="00B33281">
        <w:rPr>
          <w:rFonts w:ascii="仿宋_GB2312" w:eastAsia="仿宋_GB2312" w:hAnsi="华文仿宋" w:cs="Times New Roman" w:hint="eastAsia"/>
          <w:sz w:val="32"/>
          <w:szCs w:val="32"/>
        </w:rPr>
        <w:t>。</w:t>
      </w:r>
      <w:r w:rsidR="00684F8A" w:rsidRPr="00EE628C">
        <w:rPr>
          <w:rFonts w:ascii="仿宋_GB2312" w:eastAsia="仿宋_GB2312" w:hAnsi="华文仿宋" w:cs="Times New Roman" w:hint="eastAsia"/>
          <w:sz w:val="32"/>
          <w:szCs w:val="32"/>
        </w:rPr>
        <w:t>此时应提供试验所用受试物与临床拟用样品</w:t>
      </w:r>
      <w:r w:rsidR="000A7CAA" w:rsidRPr="00EE628C">
        <w:rPr>
          <w:rFonts w:ascii="仿宋_GB2312" w:eastAsia="仿宋_GB2312" w:hAnsi="华文仿宋" w:cs="Times New Roman" w:hint="eastAsia"/>
          <w:sz w:val="32"/>
          <w:szCs w:val="32"/>
        </w:rPr>
        <w:t>和</w:t>
      </w:r>
      <w:r w:rsidR="00A30609" w:rsidRPr="00EE628C">
        <w:rPr>
          <w:rFonts w:ascii="仿宋_GB2312" w:eastAsia="仿宋_GB2312" w:hAnsi="华文仿宋" w:cs="Times New Roman" w:hint="eastAsia"/>
          <w:sz w:val="32"/>
          <w:szCs w:val="32"/>
        </w:rPr>
        <w:t>/</w:t>
      </w:r>
      <w:r w:rsidR="000A7CAA" w:rsidRPr="00EE628C">
        <w:rPr>
          <w:rFonts w:ascii="仿宋_GB2312" w:eastAsia="仿宋_GB2312" w:hAnsi="华文仿宋" w:cs="Times New Roman" w:hint="eastAsia"/>
          <w:sz w:val="32"/>
          <w:szCs w:val="32"/>
        </w:rPr>
        <w:t>或</w:t>
      </w:r>
      <w:r w:rsidR="00A30609" w:rsidRPr="00EE628C">
        <w:rPr>
          <w:rFonts w:ascii="仿宋_GB2312" w:eastAsia="仿宋_GB2312" w:hAnsi="华文仿宋" w:cs="Times New Roman" w:hint="eastAsia"/>
          <w:sz w:val="32"/>
          <w:szCs w:val="32"/>
        </w:rPr>
        <w:t>上市样品</w:t>
      </w:r>
      <w:r w:rsidR="00684F8A" w:rsidRPr="00EE628C">
        <w:rPr>
          <w:rFonts w:ascii="仿宋_GB2312" w:eastAsia="仿宋_GB2312" w:hAnsi="华文仿宋" w:cs="Times New Roman" w:hint="eastAsia"/>
          <w:sz w:val="32"/>
          <w:szCs w:val="32"/>
        </w:rPr>
        <w:t>的</w:t>
      </w:r>
      <w:r w:rsidR="00FA5565" w:rsidRPr="00EE628C">
        <w:rPr>
          <w:rFonts w:ascii="仿宋_GB2312" w:eastAsia="仿宋_GB2312" w:hAnsi="华文仿宋" w:cs="Times New Roman" w:hint="eastAsia"/>
          <w:sz w:val="32"/>
          <w:szCs w:val="32"/>
        </w:rPr>
        <w:t>组成成分</w:t>
      </w:r>
      <w:r w:rsidR="00CA5178" w:rsidRPr="00EE628C">
        <w:rPr>
          <w:rFonts w:ascii="仿宋_GB2312" w:eastAsia="仿宋_GB2312" w:hAnsi="华文仿宋" w:cs="Times New Roman" w:hint="eastAsia"/>
          <w:sz w:val="32"/>
          <w:szCs w:val="32"/>
        </w:rPr>
        <w:t>的</w:t>
      </w:r>
      <w:r w:rsidR="00FA5565" w:rsidRPr="00EE628C">
        <w:rPr>
          <w:rFonts w:ascii="仿宋_GB2312" w:eastAsia="仿宋_GB2312" w:hAnsi="华文仿宋" w:cs="Times New Roman" w:hint="eastAsia"/>
          <w:sz w:val="32"/>
          <w:szCs w:val="32"/>
        </w:rPr>
        <w:t>对比信息</w:t>
      </w:r>
      <w:r w:rsidR="00684F8A" w:rsidRPr="00EE628C">
        <w:rPr>
          <w:rFonts w:ascii="仿宋_GB2312" w:eastAsia="仿宋_GB2312" w:hAnsi="华文仿宋" w:cs="Times New Roman" w:hint="eastAsia"/>
          <w:sz w:val="32"/>
          <w:szCs w:val="32"/>
        </w:rPr>
        <w:t>，并分析评估二者间差异对安全性评价的可能影</w:t>
      </w:r>
      <w:r w:rsidR="00684F8A" w:rsidRPr="00EE628C">
        <w:rPr>
          <w:rFonts w:ascii="仿宋_GB2312" w:eastAsia="仿宋_GB2312" w:hAnsi="华文仿宋" w:cs="Times New Roman" w:hint="eastAsia"/>
          <w:sz w:val="32"/>
          <w:szCs w:val="32"/>
        </w:rPr>
        <w:lastRenderedPageBreak/>
        <w:t>响</w:t>
      </w:r>
      <w:r w:rsidR="00A36B97" w:rsidRPr="00EE628C">
        <w:rPr>
          <w:rFonts w:ascii="仿宋_GB2312" w:eastAsia="仿宋_GB2312" w:hAnsi="华文仿宋" w:cs="Times New Roman" w:hint="eastAsia"/>
          <w:sz w:val="32"/>
          <w:szCs w:val="32"/>
        </w:rPr>
        <w:t>。</w:t>
      </w:r>
      <w:r w:rsidR="00B143F6" w:rsidRPr="00EE628C">
        <w:rPr>
          <w:rFonts w:ascii="仿宋_GB2312" w:eastAsia="仿宋_GB2312" w:hAnsi="华文仿宋" w:cs="Times New Roman" w:hint="eastAsia"/>
          <w:sz w:val="32"/>
          <w:szCs w:val="32"/>
        </w:rPr>
        <w:t>需要注意</w:t>
      </w:r>
      <w:r w:rsidR="00AB543F" w:rsidRPr="00EE628C">
        <w:rPr>
          <w:rFonts w:ascii="仿宋_GB2312" w:eastAsia="仿宋_GB2312" w:hAnsi="华文仿宋" w:cs="Times New Roman" w:hint="eastAsia"/>
          <w:sz w:val="32"/>
          <w:szCs w:val="32"/>
        </w:rPr>
        <w:t>的是</w:t>
      </w:r>
      <w:r w:rsidR="00B143F6" w:rsidRPr="00EE628C">
        <w:rPr>
          <w:rFonts w:ascii="仿宋_GB2312" w:eastAsia="仿宋_GB2312" w:hAnsi="华文仿宋" w:cs="Times New Roman" w:hint="eastAsia"/>
          <w:sz w:val="32"/>
          <w:szCs w:val="32"/>
        </w:rPr>
        <w:t>，</w:t>
      </w:r>
      <w:r w:rsidR="008A7268" w:rsidRPr="00EE628C">
        <w:rPr>
          <w:rFonts w:ascii="仿宋_GB2312" w:eastAsia="仿宋_GB2312" w:hAnsi="华文仿宋" w:cs="Times New Roman" w:hint="eastAsia"/>
          <w:sz w:val="32"/>
          <w:szCs w:val="32"/>
        </w:rPr>
        <w:t>如果</w:t>
      </w:r>
      <w:r w:rsidR="006E7514">
        <w:rPr>
          <w:rFonts w:ascii="仿宋_GB2312" w:eastAsia="仿宋_GB2312" w:hAnsi="华文仿宋" w:cs="Times New Roman" w:hint="eastAsia"/>
          <w:sz w:val="32"/>
          <w:szCs w:val="32"/>
        </w:rPr>
        <w:t>已</w:t>
      </w:r>
      <w:r w:rsidR="008A7268" w:rsidRPr="00EE628C">
        <w:rPr>
          <w:rFonts w:ascii="仿宋_GB2312" w:eastAsia="仿宋_GB2312" w:hAnsi="华文仿宋" w:cs="Times New Roman" w:hint="eastAsia"/>
          <w:sz w:val="32"/>
          <w:szCs w:val="32"/>
        </w:rPr>
        <w:t>有信息显示</w:t>
      </w:r>
      <w:r w:rsidR="00AB543F" w:rsidRPr="00EE628C">
        <w:rPr>
          <w:rFonts w:ascii="仿宋_GB2312" w:eastAsia="仿宋_GB2312" w:hAnsi="华文仿宋" w:cs="Times New Roman" w:hint="eastAsia"/>
          <w:sz w:val="32"/>
          <w:szCs w:val="32"/>
        </w:rPr>
        <w:t>以上不具有放射性的受试物与</w:t>
      </w:r>
      <w:r w:rsidR="00A44E96" w:rsidRPr="00EE628C">
        <w:rPr>
          <w:rFonts w:ascii="仿宋_GB2312" w:eastAsia="仿宋_GB2312" w:hAnsi="华文仿宋" w:cs="Times New Roman" w:hint="eastAsia"/>
          <w:sz w:val="32"/>
          <w:szCs w:val="32"/>
        </w:rPr>
        <w:t>放诊药物</w:t>
      </w:r>
      <w:r w:rsidR="007C3180" w:rsidRPr="00EE628C">
        <w:rPr>
          <w:rFonts w:ascii="仿宋_GB2312" w:eastAsia="仿宋_GB2312" w:hAnsi="华文仿宋" w:cs="Times New Roman" w:hint="eastAsia"/>
          <w:sz w:val="32"/>
          <w:szCs w:val="32"/>
        </w:rPr>
        <w:t>之间</w:t>
      </w:r>
      <w:r w:rsidR="00AB543F" w:rsidRPr="00EE628C">
        <w:rPr>
          <w:rFonts w:ascii="仿宋_GB2312" w:eastAsia="仿宋_GB2312" w:hAnsi="华文仿宋" w:cs="Times New Roman" w:hint="eastAsia"/>
          <w:sz w:val="32"/>
          <w:szCs w:val="32"/>
        </w:rPr>
        <w:t>具有明显不同的</w:t>
      </w:r>
      <w:r w:rsidR="00A44E96" w:rsidRPr="00EE628C">
        <w:rPr>
          <w:rFonts w:ascii="仿宋_GB2312" w:eastAsia="仿宋_GB2312" w:hAnsi="华文仿宋" w:cs="Times New Roman" w:hint="eastAsia"/>
          <w:sz w:val="32"/>
          <w:szCs w:val="32"/>
        </w:rPr>
        <w:t>药代动力学特征</w:t>
      </w:r>
      <w:r w:rsidR="008A7268" w:rsidRPr="00EE628C">
        <w:rPr>
          <w:rFonts w:ascii="仿宋_GB2312" w:eastAsia="仿宋_GB2312" w:hAnsi="华文仿宋" w:cs="Times New Roman" w:hint="eastAsia"/>
          <w:sz w:val="32"/>
          <w:szCs w:val="32"/>
        </w:rPr>
        <w:t>，</w:t>
      </w:r>
      <w:r w:rsidR="00AB543F" w:rsidRPr="00EE628C">
        <w:rPr>
          <w:rFonts w:ascii="仿宋_GB2312" w:eastAsia="仿宋_GB2312" w:hAnsi="华文仿宋" w:cs="Times New Roman" w:hint="eastAsia"/>
          <w:sz w:val="32"/>
          <w:szCs w:val="32"/>
        </w:rPr>
        <w:t>则</w:t>
      </w:r>
      <w:r w:rsidR="008A7268" w:rsidRPr="00EE628C">
        <w:rPr>
          <w:rFonts w:ascii="仿宋_GB2312" w:eastAsia="仿宋_GB2312" w:hAnsi="华文仿宋" w:cs="Times New Roman" w:hint="eastAsia"/>
          <w:sz w:val="32"/>
          <w:szCs w:val="32"/>
        </w:rPr>
        <w:t>建议采用</w:t>
      </w:r>
      <w:r w:rsidR="00AB543F" w:rsidRPr="00EE628C">
        <w:rPr>
          <w:rFonts w:ascii="仿宋_GB2312" w:eastAsia="仿宋_GB2312" w:hAnsi="华文仿宋" w:cs="Times New Roman" w:hint="eastAsia"/>
          <w:sz w:val="32"/>
          <w:szCs w:val="32"/>
        </w:rPr>
        <w:t>具有放射性的</w:t>
      </w:r>
      <w:r w:rsidR="008A7268" w:rsidRPr="00EE628C">
        <w:rPr>
          <w:rFonts w:ascii="仿宋_GB2312" w:eastAsia="仿宋_GB2312" w:hAnsi="华文仿宋" w:cs="Times New Roman" w:hint="eastAsia"/>
          <w:sz w:val="32"/>
          <w:szCs w:val="32"/>
        </w:rPr>
        <w:t>放诊药物</w:t>
      </w:r>
      <w:r w:rsidR="00AB543F" w:rsidRPr="00EE628C">
        <w:rPr>
          <w:rFonts w:ascii="仿宋_GB2312" w:eastAsia="仿宋_GB2312" w:hAnsi="华文仿宋" w:cs="Times New Roman" w:hint="eastAsia"/>
          <w:sz w:val="32"/>
          <w:szCs w:val="32"/>
        </w:rPr>
        <w:t>开展重复给药毒性试验。</w:t>
      </w:r>
    </w:p>
    <w:p w14:paraId="78FBA759" w14:textId="054B292C" w:rsidR="003D1D89"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27" w:name="_Toc46214315"/>
      <w:bookmarkStart w:id="28" w:name="_Toc49175039"/>
      <w:r w:rsidRPr="00E9542C">
        <w:rPr>
          <w:rFonts w:ascii="仿宋_GB2312" w:eastAsia="仿宋_GB2312" w:hAnsi="华文仿宋" w:cs="Times New Roman" w:hint="eastAsia"/>
          <w:sz w:val="32"/>
          <w:szCs w:val="32"/>
        </w:rPr>
        <w:t>4</w:t>
      </w:r>
      <w:r w:rsidR="00A12EE8">
        <w:rPr>
          <w:rFonts w:ascii="仿宋_GB2312" w:eastAsia="仿宋_GB2312" w:hAnsi="华文仿宋" w:cs="Times New Roman" w:hint="eastAsia"/>
          <w:sz w:val="32"/>
          <w:szCs w:val="32"/>
        </w:rPr>
        <w:t>.</w:t>
      </w:r>
      <w:r w:rsidR="00156BF4" w:rsidRPr="00E9542C">
        <w:rPr>
          <w:rFonts w:ascii="仿宋_GB2312" w:eastAsia="仿宋_GB2312" w:hAnsi="华文仿宋" w:cs="Times New Roman" w:hint="eastAsia"/>
          <w:sz w:val="32"/>
          <w:szCs w:val="32"/>
        </w:rPr>
        <w:t>遗传毒性试验</w:t>
      </w:r>
      <w:bookmarkEnd w:id="27"/>
      <w:bookmarkEnd w:id="28"/>
    </w:p>
    <w:p w14:paraId="694FF0AC" w14:textId="09B618F2" w:rsidR="00B27EE0" w:rsidRPr="00EE628C" w:rsidRDefault="002539E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放射性核素具有造成生物体遗传物质损伤的</w:t>
      </w:r>
      <w:r w:rsidR="003F1BAC">
        <w:rPr>
          <w:rFonts w:ascii="仿宋_GB2312" w:eastAsia="仿宋_GB2312" w:hAnsi="华文仿宋" w:cs="Times New Roman" w:hint="eastAsia"/>
          <w:sz w:val="32"/>
          <w:szCs w:val="32"/>
        </w:rPr>
        <w:t>潜力</w:t>
      </w:r>
      <w:r w:rsidRPr="00EE628C">
        <w:rPr>
          <w:rFonts w:ascii="仿宋_GB2312" w:eastAsia="仿宋_GB2312" w:hAnsi="华文仿宋" w:cs="Times New Roman" w:hint="eastAsia"/>
          <w:sz w:val="32"/>
          <w:szCs w:val="32"/>
        </w:rPr>
        <w:t>，因此需要考虑放诊药物的遗传毒性风险。若放诊药物的非放射性组分为新结构化合物，应对非放射性组分进行遗传毒性评估。</w:t>
      </w:r>
    </w:p>
    <w:p w14:paraId="3AD0F3B1" w14:textId="707E8CD7" w:rsidR="00E61927"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29" w:name="_Toc46214316"/>
      <w:bookmarkStart w:id="30" w:name="_Toc49175040"/>
      <w:r w:rsidRPr="00E9542C">
        <w:rPr>
          <w:rFonts w:ascii="仿宋_GB2312" w:eastAsia="仿宋_GB2312" w:hAnsi="华文仿宋" w:cs="Times New Roman" w:hint="eastAsia"/>
          <w:sz w:val="32"/>
          <w:szCs w:val="32"/>
        </w:rPr>
        <w:t>5</w:t>
      </w:r>
      <w:r w:rsidR="00A12EE8">
        <w:rPr>
          <w:rFonts w:ascii="仿宋_GB2312" w:eastAsia="仿宋_GB2312" w:hAnsi="华文仿宋" w:cs="Times New Roman" w:hint="eastAsia"/>
          <w:sz w:val="32"/>
          <w:szCs w:val="32"/>
        </w:rPr>
        <w:t>.</w:t>
      </w:r>
      <w:r w:rsidR="00156BF4" w:rsidRPr="00E9542C">
        <w:rPr>
          <w:rFonts w:ascii="仿宋_GB2312" w:eastAsia="仿宋_GB2312" w:hAnsi="华文仿宋" w:cs="Times New Roman" w:hint="eastAsia"/>
          <w:sz w:val="32"/>
          <w:szCs w:val="32"/>
        </w:rPr>
        <w:t>生殖毒性试验</w:t>
      </w:r>
      <w:bookmarkEnd w:id="29"/>
      <w:bookmarkEnd w:id="30"/>
    </w:p>
    <w:p w14:paraId="7D2194C7" w14:textId="77777777" w:rsidR="00304FF5" w:rsidRDefault="005D68FD" w:rsidP="00E9542C">
      <w:pPr>
        <w:spacing w:line="360" w:lineRule="auto"/>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放诊药物所携带的</w:t>
      </w:r>
      <w:r w:rsidR="002539E1" w:rsidRPr="00EE628C">
        <w:rPr>
          <w:rFonts w:ascii="仿宋_GB2312" w:eastAsia="仿宋_GB2312" w:hAnsi="华文仿宋" w:cs="Times New Roman" w:hint="eastAsia"/>
          <w:sz w:val="32"/>
          <w:szCs w:val="32"/>
        </w:rPr>
        <w:t>放射性核素</w:t>
      </w:r>
      <w:r>
        <w:rPr>
          <w:rFonts w:ascii="仿宋_GB2312" w:eastAsia="仿宋_GB2312" w:hAnsi="华文仿宋" w:cs="Times New Roman" w:hint="eastAsia"/>
          <w:sz w:val="32"/>
          <w:szCs w:val="32"/>
        </w:rPr>
        <w:t>可产生辐射，应科学评估放诊药物的</w:t>
      </w:r>
      <w:r w:rsidR="001137D2">
        <w:rPr>
          <w:rFonts w:ascii="仿宋_GB2312" w:eastAsia="仿宋_GB2312" w:hAnsi="华文仿宋" w:cs="Times New Roman" w:hint="eastAsia"/>
          <w:sz w:val="32"/>
          <w:szCs w:val="32"/>
        </w:rPr>
        <w:t>生殖毒性风险，</w:t>
      </w:r>
      <w:r>
        <w:rPr>
          <w:rFonts w:ascii="仿宋_GB2312" w:eastAsia="仿宋_GB2312" w:hAnsi="华文仿宋" w:cs="Times New Roman" w:hint="eastAsia"/>
          <w:sz w:val="32"/>
          <w:szCs w:val="32"/>
        </w:rPr>
        <w:t>并在说明书中列出生殖毒性风险评估相关的信息，为临床使用</w:t>
      </w:r>
      <w:r w:rsidR="006B3A9F">
        <w:rPr>
          <w:rFonts w:ascii="仿宋_GB2312" w:eastAsia="仿宋_GB2312" w:hAnsi="华文仿宋" w:cs="Times New Roman" w:hint="eastAsia"/>
          <w:sz w:val="32"/>
          <w:szCs w:val="32"/>
        </w:rPr>
        <w:t>提示</w:t>
      </w:r>
      <w:r>
        <w:rPr>
          <w:rFonts w:ascii="仿宋_GB2312" w:eastAsia="仿宋_GB2312" w:hAnsi="华文仿宋" w:cs="Times New Roman" w:hint="eastAsia"/>
          <w:sz w:val="32"/>
          <w:szCs w:val="32"/>
        </w:rPr>
        <w:t>风险</w:t>
      </w:r>
      <w:r w:rsidR="00304FF5">
        <w:rPr>
          <w:rFonts w:ascii="仿宋_GB2312" w:eastAsia="仿宋_GB2312" w:hAnsi="华文仿宋" w:cs="Times New Roman" w:hint="eastAsia"/>
          <w:sz w:val="32"/>
          <w:szCs w:val="32"/>
        </w:rPr>
        <w:t>。</w:t>
      </w:r>
    </w:p>
    <w:p w14:paraId="0C55A170" w14:textId="41C6206B" w:rsidR="00E61927"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31" w:name="_Toc46214317"/>
      <w:bookmarkStart w:id="32" w:name="_Toc49175041"/>
      <w:r w:rsidRPr="00E9542C">
        <w:rPr>
          <w:rFonts w:ascii="仿宋_GB2312" w:eastAsia="仿宋_GB2312" w:hAnsi="华文仿宋" w:cs="Times New Roman" w:hint="eastAsia"/>
          <w:sz w:val="32"/>
          <w:szCs w:val="32"/>
        </w:rPr>
        <w:t>6</w:t>
      </w:r>
      <w:r w:rsidR="00A12EE8">
        <w:rPr>
          <w:rFonts w:ascii="仿宋_GB2312" w:eastAsia="仿宋_GB2312" w:hAnsi="华文仿宋" w:cs="Times New Roman" w:hint="eastAsia"/>
          <w:sz w:val="32"/>
          <w:szCs w:val="32"/>
        </w:rPr>
        <w:t>.</w:t>
      </w:r>
      <w:r w:rsidR="00156BF4" w:rsidRPr="00E9542C">
        <w:rPr>
          <w:rFonts w:ascii="仿宋_GB2312" w:eastAsia="仿宋_GB2312" w:hAnsi="华文仿宋" w:cs="Times New Roman" w:hint="eastAsia"/>
          <w:sz w:val="32"/>
          <w:szCs w:val="32"/>
        </w:rPr>
        <w:t>致癌性试验</w:t>
      </w:r>
      <w:bookmarkEnd w:id="31"/>
      <w:bookmarkEnd w:id="32"/>
    </w:p>
    <w:p w14:paraId="4C1F0500" w14:textId="77777777" w:rsidR="00E61927" w:rsidRPr="00EE628C" w:rsidRDefault="0025708E"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放诊药物</w:t>
      </w:r>
      <w:r w:rsidR="006403DD" w:rsidRPr="00EE628C">
        <w:rPr>
          <w:rFonts w:ascii="仿宋_GB2312" w:eastAsia="仿宋_GB2312" w:hAnsi="华文仿宋" w:cs="Times New Roman" w:hint="eastAsia"/>
          <w:sz w:val="32"/>
          <w:szCs w:val="32"/>
        </w:rPr>
        <w:t>一般不需</w:t>
      </w:r>
      <w:r w:rsidR="00E37D4B" w:rsidRPr="00EE628C">
        <w:rPr>
          <w:rFonts w:ascii="仿宋_GB2312" w:eastAsia="仿宋_GB2312" w:hAnsi="华文仿宋" w:cs="Times New Roman" w:hint="eastAsia"/>
          <w:sz w:val="32"/>
          <w:szCs w:val="32"/>
        </w:rPr>
        <w:t>开展</w:t>
      </w:r>
      <w:r w:rsidR="006403DD" w:rsidRPr="00EE628C">
        <w:rPr>
          <w:rFonts w:ascii="仿宋_GB2312" w:eastAsia="仿宋_GB2312" w:hAnsi="华文仿宋" w:cs="Times New Roman" w:hint="eastAsia"/>
          <w:sz w:val="32"/>
          <w:szCs w:val="32"/>
        </w:rPr>
        <w:t>致癌性试验</w:t>
      </w:r>
      <w:r w:rsidR="004C0868" w:rsidRPr="00EE628C">
        <w:rPr>
          <w:rFonts w:ascii="仿宋_GB2312" w:eastAsia="仿宋_GB2312" w:hAnsi="华文仿宋" w:cs="Times New Roman" w:hint="eastAsia"/>
          <w:sz w:val="32"/>
          <w:szCs w:val="32"/>
        </w:rPr>
        <w:t>。若放诊药物的非放射性组分为新结构化合物，建议</w:t>
      </w:r>
      <w:r w:rsidR="005C0DC2" w:rsidRPr="00EE628C">
        <w:rPr>
          <w:rFonts w:ascii="仿宋_GB2312" w:eastAsia="仿宋_GB2312" w:hAnsi="华文仿宋" w:cs="Times New Roman" w:hint="eastAsia"/>
          <w:sz w:val="32"/>
          <w:szCs w:val="32"/>
        </w:rPr>
        <w:t>参考致癌性试验相关指导原则</w:t>
      </w:r>
      <w:r w:rsidR="004C0868" w:rsidRPr="00EE628C">
        <w:rPr>
          <w:rFonts w:ascii="仿宋_GB2312" w:eastAsia="仿宋_GB2312" w:hAnsi="华文仿宋" w:cs="Times New Roman" w:hint="eastAsia"/>
          <w:sz w:val="32"/>
          <w:szCs w:val="32"/>
        </w:rPr>
        <w:t>要求</w:t>
      </w:r>
      <w:r w:rsidR="00E82BD4" w:rsidRPr="00EE628C">
        <w:rPr>
          <w:rFonts w:ascii="仿宋_GB2312" w:eastAsia="仿宋_GB2312" w:hAnsi="华文仿宋" w:cs="Times New Roman" w:hint="eastAsia"/>
          <w:sz w:val="32"/>
          <w:szCs w:val="32"/>
        </w:rPr>
        <w:t>进行致癌性评估</w:t>
      </w:r>
      <w:r w:rsidR="005C0DC2" w:rsidRPr="00EE628C">
        <w:rPr>
          <w:rFonts w:ascii="仿宋_GB2312" w:eastAsia="仿宋_GB2312" w:hAnsi="华文仿宋" w:cs="Times New Roman" w:hint="eastAsia"/>
          <w:sz w:val="32"/>
          <w:szCs w:val="32"/>
        </w:rPr>
        <w:t>。</w:t>
      </w:r>
    </w:p>
    <w:p w14:paraId="5D0FBD7F" w14:textId="73979693" w:rsidR="00E61927" w:rsidRPr="00E9542C" w:rsidRDefault="00794FDD" w:rsidP="00E9542C">
      <w:pPr>
        <w:spacing w:line="360" w:lineRule="auto"/>
        <w:ind w:firstLineChars="200" w:firstLine="640"/>
        <w:outlineLvl w:val="2"/>
        <w:rPr>
          <w:rFonts w:ascii="仿宋_GB2312" w:eastAsia="仿宋_GB2312" w:hAnsi="华文仿宋" w:cs="Times New Roman"/>
          <w:sz w:val="32"/>
          <w:szCs w:val="32"/>
        </w:rPr>
      </w:pPr>
      <w:bookmarkStart w:id="33" w:name="_Toc49175042"/>
      <w:r w:rsidRPr="00E9542C">
        <w:rPr>
          <w:rFonts w:ascii="仿宋_GB2312" w:eastAsia="仿宋_GB2312" w:hAnsi="华文仿宋" w:cs="Times New Roman" w:hint="eastAsia"/>
          <w:sz w:val="32"/>
          <w:szCs w:val="32"/>
        </w:rPr>
        <w:t>7</w:t>
      </w:r>
      <w:r w:rsidR="00A12EE8">
        <w:rPr>
          <w:rFonts w:ascii="仿宋_GB2312" w:eastAsia="仿宋_GB2312" w:hAnsi="华文仿宋" w:cs="Times New Roman" w:hint="eastAsia"/>
          <w:sz w:val="32"/>
          <w:szCs w:val="32"/>
        </w:rPr>
        <w:t>.</w:t>
      </w:r>
      <w:r w:rsidR="00CD3371" w:rsidRPr="00E9542C">
        <w:rPr>
          <w:rFonts w:ascii="仿宋_GB2312" w:eastAsia="仿宋_GB2312" w:hAnsi="华文仿宋" w:cs="Times New Roman" w:hint="eastAsia"/>
          <w:sz w:val="32"/>
          <w:szCs w:val="32"/>
        </w:rPr>
        <w:t>其他安全性</w:t>
      </w:r>
      <w:r w:rsidR="003F1BAC">
        <w:rPr>
          <w:rFonts w:ascii="仿宋_GB2312" w:eastAsia="仿宋_GB2312" w:hAnsi="华文仿宋" w:cs="Times New Roman" w:hint="eastAsia"/>
          <w:sz w:val="32"/>
          <w:szCs w:val="32"/>
        </w:rPr>
        <w:t>试验</w:t>
      </w:r>
      <w:bookmarkEnd w:id="33"/>
    </w:p>
    <w:p w14:paraId="3FE58B93" w14:textId="77777777" w:rsidR="00E61927" w:rsidRPr="00EE628C" w:rsidRDefault="00CD337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应开展放诊药物的溶血性、刺激性、过敏性试验，建议参考拟定的临床使用情况进行试验设计，受试物应</w:t>
      </w:r>
      <w:r w:rsidR="008F5CDE" w:rsidRPr="00EE628C">
        <w:rPr>
          <w:rFonts w:ascii="仿宋_GB2312" w:eastAsia="仿宋_GB2312" w:hAnsi="华文仿宋" w:cs="Times New Roman" w:hint="eastAsia"/>
          <w:sz w:val="32"/>
          <w:szCs w:val="32"/>
        </w:rPr>
        <w:t>为临床试验拟用样品和/或拟上市样品</w:t>
      </w:r>
      <w:r w:rsidRPr="00EE628C">
        <w:rPr>
          <w:rFonts w:ascii="仿宋_GB2312" w:eastAsia="仿宋_GB2312" w:hAnsi="华文仿宋" w:cs="Times New Roman" w:hint="eastAsia"/>
          <w:sz w:val="32"/>
          <w:szCs w:val="32"/>
        </w:rPr>
        <w:t>。</w:t>
      </w:r>
    </w:p>
    <w:p w14:paraId="64286975" w14:textId="2F4F6890" w:rsidR="00E61927" w:rsidRPr="00EE628C" w:rsidRDefault="00CD337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放射性核素标记的多肽、蛋白、抗体等大分子配体</w:t>
      </w:r>
      <w:r w:rsidR="00C347D4">
        <w:rPr>
          <w:rFonts w:ascii="仿宋_GB2312" w:eastAsia="仿宋_GB2312" w:hAnsi="华文仿宋" w:cs="Times New Roman" w:hint="eastAsia"/>
          <w:sz w:val="32"/>
          <w:szCs w:val="32"/>
        </w:rPr>
        <w:t>或</w:t>
      </w:r>
      <w:r w:rsidRPr="00EE628C">
        <w:rPr>
          <w:rFonts w:ascii="仿宋_GB2312" w:eastAsia="仿宋_GB2312" w:hAnsi="华文仿宋" w:cs="Times New Roman" w:hint="eastAsia"/>
          <w:sz w:val="32"/>
          <w:szCs w:val="32"/>
        </w:rPr>
        <w:t>载体理论上可能具有免疫原性，给药后抗药抗体的产生可能会影响放诊药物的体内药代特征、诊断效能和安全性。建议对</w:t>
      </w:r>
      <w:r w:rsidRPr="00EE628C">
        <w:rPr>
          <w:rFonts w:ascii="仿宋_GB2312" w:eastAsia="仿宋_GB2312" w:hAnsi="华文仿宋" w:cs="Times New Roman" w:hint="eastAsia"/>
          <w:sz w:val="32"/>
          <w:szCs w:val="32"/>
        </w:rPr>
        <w:lastRenderedPageBreak/>
        <w:t>生物制品</w:t>
      </w:r>
      <w:r w:rsidR="0090115A" w:rsidRPr="00EE628C">
        <w:rPr>
          <w:rFonts w:ascii="仿宋_GB2312" w:eastAsia="仿宋_GB2312" w:hAnsi="华文仿宋" w:cs="Times New Roman" w:hint="eastAsia"/>
          <w:sz w:val="32"/>
          <w:szCs w:val="32"/>
        </w:rPr>
        <w:t>类</w:t>
      </w:r>
      <w:r w:rsidRPr="00EE628C">
        <w:rPr>
          <w:rFonts w:ascii="仿宋_GB2312" w:eastAsia="仿宋_GB2312" w:hAnsi="华文仿宋" w:cs="Times New Roman" w:hint="eastAsia"/>
          <w:sz w:val="32"/>
          <w:szCs w:val="32"/>
        </w:rPr>
        <w:t>放诊药物开展免疫原性研究，体内研究可结合在重复给药毒性试验中开展。</w:t>
      </w:r>
    </w:p>
    <w:p w14:paraId="7D628C49" w14:textId="77777777" w:rsidR="00E61927" w:rsidRPr="00EE628C" w:rsidRDefault="00CD3371" w:rsidP="00E9542C">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根据</w:t>
      </w:r>
      <w:r w:rsidR="008F5CDE" w:rsidRPr="00EE628C">
        <w:rPr>
          <w:rFonts w:ascii="仿宋_GB2312" w:eastAsia="仿宋_GB2312" w:hAnsi="华文仿宋" w:cs="Times New Roman" w:hint="eastAsia"/>
          <w:sz w:val="32"/>
          <w:szCs w:val="32"/>
        </w:rPr>
        <w:t>放诊药物</w:t>
      </w:r>
      <w:r w:rsidRPr="00EE628C">
        <w:rPr>
          <w:rFonts w:ascii="仿宋_GB2312" w:eastAsia="仿宋_GB2312" w:hAnsi="华文仿宋" w:cs="Times New Roman" w:hint="eastAsia"/>
          <w:sz w:val="32"/>
          <w:szCs w:val="32"/>
        </w:rPr>
        <w:t>具体品种的具体特点，</w:t>
      </w:r>
      <w:r w:rsidR="003F1BAC">
        <w:rPr>
          <w:rFonts w:ascii="仿宋_GB2312" w:eastAsia="仿宋_GB2312" w:hAnsi="华文仿宋" w:cs="Times New Roman" w:hint="eastAsia"/>
          <w:sz w:val="32"/>
          <w:szCs w:val="32"/>
        </w:rPr>
        <w:t>必要时</w:t>
      </w:r>
      <w:r w:rsidRPr="00EE628C">
        <w:rPr>
          <w:rFonts w:ascii="仿宋_GB2312" w:eastAsia="仿宋_GB2312" w:hAnsi="华文仿宋" w:cs="Times New Roman" w:hint="eastAsia"/>
          <w:sz w:val="32"/>
          <w:szCs w:val="32"/>
        </w:rPr>
        <w:t>开展</w:t>
      </w:r>
      <w:r w:rsidR="0000580F" w:rsidRPr="00EE628C">
        <w:rPr>
          <w:rFonts w:ascii="仿宋_GB2312" w:eastAsia="仿宋_GB2312" w:hAnsi="华文仿宋" w:cs="Times New Roman" w:hint="eastAsia"/>
          <w:sz w:val="32"/>
          <w:szCs w:val="32"/>
        </w:rPr>
        <w:t>光毒性、杂质毒性、新辅料毒性等</w:t>
      </w:r>
      <w:r w:rsidR="008F5CDE" w:rsidRPr="00EE628C">
        <w:rPr>
          <w:rFonts w:ascii="仿宋_GB2312" w:eastAsia="仿宋_GB2312" w:hAnsi="华文仿宋" w:cs="Times New Roman" w:hint="eastAsia"/>
          <w:sz w:val="32"/>
          <w:szCs w:val="32"/>
        </w:rPr>
        <w:t>评估</w:t>
      </w:r>
      <w:r w:rsidRPr="00EE628C">
        <w:rPr>
          <w:rFonts w:ascii="仿宋_GB2312" w:eastAsia="仿宋_GB2312" w:hAnsi="华文仿宋" w:cs="Times New Roman" w:hint="eastAsia"/>
          <w:sz w:val="32"/>
          <w:szCs w:val="32"/>
        </w:rPr>
        <w:t>。</w:t>
      </w:r>
    </w:p>
    <w:p w14:paraId="48ACC41B" w14:textId="77777777" w:rsidR="00E61927" w:rsidRPr="00E9542C" w:rsidRDefault="00794FDD" w:rsidP="00E9542C">
      <w:pPr>
        <w:spacing w:line="360" w:lineRule="auto"/>
        <w:ind w:firstLineChars="200" w:firstLine="640"/>
        <w:outlineLvl w:val="1"/>
        <w:rPr>
          <w:rFonts w:ascii="仿宋_GB2312" w:eastAsia="仿宋_GB2312" w:hAnsi="华文仿宋" w:cs="Times New Roman"/>
          <w:sz w:val="32"/>
          <w:szCs w:val="32"/>
        </w:rPr>
      </w:pPr>
      <w:bookmarkStart w:id="34" w:name="_Toc49175043"/>
      <w:bookmarkStart w:id="35" w:name="_Toc46214318"/>
      <w:r w:rsidRPr="00E9542C">
        <w:rPr>
          <w:rFonts w:ascii="仿宋_GB2312" w:eastAsia="仿宋_GB2312" w:hAnsi="华文仿宋" w:cs="Times New Roman" w:hint="eastAsia"/>
          <w:sz w:val="32"/>
          <w:szCs w:val="32"/>
        </w:rPr>
        <w:t>（四）</w:t>
      </w:r>
      <w:r w:rsidR="00AE6219" w:rsidRPr="00E9542C">
        <w:rPr>
          <w:rFonts w:ascii="仿宋_GB2312" w:eastAsia="仿宋_GB2312" w:hAnsi="华文仿宋" w:cs="Times New Roman" w:hint="eastAsia"/>
          <w:sz w:val="32"/>
          <w:szCs w:val="32"/>
        </w:rPr>
        <w:t>辐射安全性评估</w:t>
      </w:r>
      <w:bookmarkEnd w:id="34"/>
    </w:p>
    <w:p w14:paraId="4A0B4DB4" w14:textId="43F156E3" w:rsidR="00E9542C" w:rsidRDefault="00AE6219" w:rsidP="00F34C90">
      <w:pPr>
        <w:spacing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在放诊药物开展首次人体试验之前，建议采用放诊药物的动物药代动力学数据估算人体辐射内照射吸收剂量及有效剂量，为辐射安全性评价提供数据</w:t>
      </w:r>
      <w:r w:rsidRPr="00EE628C">
        <w:rPr>
          <w:rFonts w:ascii="仿宋_GB2312" w:eastAsia="仿宋_GB2312" w:hAnsi="华文仿宋" w:hint="eastAsia"/>
          <w:sz w:val="32"/>
          <w:szCs w:val="32"/>
        </w:rPr>
        <w:t>。</w:t>
      </w:r>
      <w:r w:rsidRPr="00EE628C">
        <w:rPr>
          <w:rFonts w:ascii="仿宋_GB2312" w:eastAsia="仿宋_GB2312" w:hAnsi="华文仿宋" w:cs="Times New Roman" w:hint="eastAsia"/>
          <w:sz w:val="32"/>
          <w:szCs w:val="32"/>
        </w:rPr>
        <w:t>建议采用国际放射防护委员会（ICRP）出版物、医学内照射剂量委员会（MIRD）推荐的方法估算人体内照射吸收剂量和有效剂量（如果有公认的中国参考人模型，建议采用中国参考人的器官吸收分数，估算人体内照射吸收剂量和有效剂量）。人体内照射剂量估算时应关注动物种属对临床拟用人群的代表性。由于ICRP和MIRD推荐的方法没有考虑到不同年龄人群（如儿童、孕妇、老人）因素的影响，当放诊药物用于这些患者时，应进行修正。如果使用了其他估算方法，应提供原始参考文献并作详细说明。</w:t>
      </w:r>
    </w:p>
    <w:p w14:paraId="1C9F2BF7" w14:textId="77777777" w:rsidR="00F34C90" w:rsidRPr="00F34C90" w:rsidRDefault="00F34C90" w:rsidP="00F34C90">
      <w:pPr>
        <w:spacing w:line="360" w:lineRule="auto"/>
        <w:ind w:firstLineChars="200" w:firstLine="640"/>
        <w:rPr>
          <w:rFonts w:ascii="仿宋_GB2312" w:eastAsia="仿宋_GB2312" w:hAnsi="华文仿宋" w:cs="Times New Roman"/>
          <w:sz w:val="32"/>
          <w:szCs w:val="32"/>
        </w:rPr>
      </w:pPr>
    </w:p>
    <w:p w14:paraId="2EB0BBE6" w14:textId="77777777" w:rsidR="00E61927" w:rsidRPr="00E9542C" w:rsidRDefault="001474E1" w:rsidP="005D68FD">
      <w:pPr>
        <w:spacing w:beforeLines="50" w:before="156" w:line="360" w:lineRule="auto"/>
        <w:outlineLvl w:val="0"/>
        <w:rPr>
          <w:rFonts w:ascii="黑体" w:eastAsia="黑体" w:hAnsi="黑体" w:cs="Times New Roman"/>
          <w:sz w:val="32"/>
          <w:szCs w:val="32"/>
        </w:rPr>
      </w:pPr>
      <w:bookmarkStart w:id="36" w:name="_Toc46214320"/>
      <w:bookmarkStart w:id="37" w:name="_Toc49175044"/>
      <w:bookmarkEnd w:id="35"/>
      <w:r w:rsidRPr="00E9542C">
        <w:rPr>
          <w:rFonts w:ascii="黑体" w:eastAsia="黑体" w:hAnsi="黑体" w:cs="Times New Roman" w:hint="eastAsia"/>
          <w:sz w:val="32"/>
          <w:szCs w:val="32"/>
        </w:rPr>
        <w:t>参考文献</w:t>
      </w:r>
      <w:bookmarkEnd w:id="36"/>
      <w:bookmarkEnd w:id="37"/>
    </w:p>
    <w:p w14:paraId="4D25214C" w14:textId="77777777" w:rsidR="00E61927" w:rsidRPr="00EE628C" w:rsidRDefault="001474E1" w:rsidP="005D68FD">
      <w:pPr>
        <w:spacing w:beforeLines="50" w:before="156"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EMA. Draft guideline on Non-clinical requirements for radiopharmaceuticals（2018.11）</w:t>
      </w:r>
    </w:p>
    <w:p w14:paraId="247B4A09" w14:textId="77777777" w:rsidR="001474E1" w:rsidRPr="00EE628C" w:rsidRDefault="001474E1" w:rsidP="00C57CD5">
      <w:pPr>
        <w:spacing w:before="50"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lastRenderedPageBreak/>
        <w:t>FDA. Microdose Radiopharmaceutical Diagnostic Drugs: Nonclinical Study Recommendations</w:t>
      </w:r>
      <w:r w:rsidR="00B763AA" w:rsidRPr="00EE628C">
        <w:rPr>
          <w:rFonts w:ascii="仿宋_GB2312" w:eastAsia="仿宋_GB2312" w:hAnsi="华文仿宋" w:cs="Times New Roman" w:hint="eastAsia"/>
          <w:sz w:val="32"/>
          <w:szCs w:val="32"/>
        </w:rPr>
        <w:t>（2018.8）</w:t>
      </w:r>
    </w:p>
    <w:p w14:paraId="28D4048D" w14:textId="77777777" w:rsidR="001474E1" w:rsidRPr="00EE628C" w:rsidRDefault="001474E1" w:rsidP="00C57CD5">
      <w:pPr>
        <w:snapToGrid w:val="0"/>
        <w:spacing w:before="50" w:line="360" w:lineRule="auto"/>
        <w:ind w:firstLineChars="200" w:firstLine="640"/>
        <w:rPr>
          <w:rFonts w:ascii="仿宋_GB2312" w:eastAsia="仿宋_GB2312" w:hAnsi="华文仿宋" w:cs="Times New Roman"/>
          <w:bCs/>
          <w:sz w:val="32"/>
          <w:szCs w:val="32"/>
        </w:rPr>
      </w:pPr>
      <w:r w:rsidRPr="00EE628C">
        <w:rPr>
          <w:rFonts w:ascii="仿宋_GB2312" w:eastAsia="仿宋_GB2312" w:hAnsi="华文仿宋" w:cs="Times New Roman" w:hint="eastAsia"/>
          <w:bCs/>
          <w:sz w:val="32"/>
          <w:szCs w:val="32"/>
        </w:rPr>
        <w:t>FDA. Guidance for Industry Developing Medical Imaging Drug and Biological Products Part 1: Conducting Safety Assessments</w:t>
      </w:r>
      <w:r w:rsidR="00B763AA" w:rsidRPr="00EE628C">
        <w:rPr>
          <w:rFonts w:ascii="仿宋_GB2312" w:eastAsia="仿宋_GB2312" w:hAnsi="华文仿宋" w:cs="Times New Roman" w:hint="eastAsia"/>
          <w:bCs/>
          <w:sz w:val="32"/>
          <w:szCs w:val="32"/>
        </w:rPr>
        <w:t>（2004.6）</w:t>
      </w:r>
    </w:p>
    <w:p w14:paraId="68BF616C" w14:textId="4738AE82" w:rsidR="00B763AA" w:rsidRPr="00EE628C" w:rsidRDefault="00B763AA" w:rsidP="00C57CD5">
      <w:pPr>
        <w:snapToGrid w:val="0"/>
        <w:spacing w:before="50" w:line="360" w:lineRule="auto"/>
        <w:ind w:firstLineChars="200" w:firstLine="640"/>
        <w:rPr>
          <w:rStyle w:val="af0"/>
          <w:rFonts w:ascii="仿宋_GB2312" w:eastAsia="仿宋_GB2312" w:hAnsi="华文仿宋" w:cs="Times New Roman"/>
          <w:b w:val="0"/>
          <w:sz w:val="32"/>
          <w:szCs w:val="32"/>
          <w:bdr w:val="none" w:sz="0" w:space="0" w:color="auto" w:frame="1"/>
        </w:rPr>
      </w:pPr>
      <w:r w:rsidRPr="00EE628C">
        <w:rPr>
          <w:rFonts w:ascii="仿宋_GB2312" w:eastAsia="仿宋_GB2312" w:hAnsi="华文仿宋" w:cs="Times New Roman" w:hint="eastAsia"/>
          <w:bCs/>
          <w:sz w:val="32"/>
          <w:szCs w:val="32"/>
        </w:rPr>
        <w:t>MIRD.</w:t>
      </w:r>
      <w:r w:rsidRPr="001A7EC5">
        <w:rPr>
          <w:rFonts w:ascii="仿宋_GB2312" w:eastAsia="仿宋_GB2312" w:hAnsi="华文仿宋" w:cs="Times New Roman" w:hint="eastAsia"/>
          <w:bCs/>
          <w:sz w:val="32"/>
          <w:szCs w:val="32"/>
          <w:bdr w:val="none" w:sz="0" w:space="0" w:color="auto" w:frame="1"/>
        </w:rPr>
        <w:t>MIRD Primer for Absorbed Dose Calculations, revised (1991)</w:t>
      </w:r>
      <w:r w:rsidRPr="00EE628C">
        <w:rPr>
          <w:rStyle w:val="af0"/>
          <w:rFonts w:ascii="仿宋_GB2312" w:eastAsia="仿宋_GB2312" w:hAnsi="华文仿宋" w:cs="Times New Roman" w:hint="eastAsia"/>
          <w:b w:val="0"/>
          <w:sz w:val="32"/>
          <w:szCs w:val="32"/>
          <w:bdr w:val="none" w:sz="0" w:space="0" w:color="auto" w:frame="1"/>
        </w:rPr>
        <w:t>.</w:t>
      </w:r>
      <w:bookmarkStart w:id="38" w:name="_GoBack"/>
      <w:bookmarkEnd w:id="38"/>
    </w:p>
    <w:p w14:paraId="11096206" w14:textId="77777777" w:rsidR="00EC35A6" w:rsidRPr="00EE628C" w:rsidRDefault="00EC35A6" w:rsidP="00C57CD5">
      <w:pPr>
        <w:autoSpaceDE w:val="0"/>
        <w:autoSpaceDN w:val="0"/>
        <w:adjustRightInd w:val="0"/>
        <w:spacing w:before="50" w:line="360" w:lineRule="auto"/>
        <w:ind w:firstLineChars="200" w:firstLine="640"/>
        <w:rPr>
          <w:rFonts w:ascii="仿宋_GB2312" w:eastAsia="仿宋_GB2312" w:hAnsi="华文仿宋" w:cs="Times New Roman"/>
          <w:kern w:val="0"/>
          <w:sz w:val="32"/>
          <w:szCs w:val="32"/>
        </w:rPr>
      </w:pPr>
      <w:r w:rsidRPr="00EE628C">
        <w:rPr>
          <w:rStyle w:val="af0"/>
          <w:rFonts w:ascii="仿宋_GB2312" w:eastAsia="仿宋_GB2312" w:hAnsi="华文仿宋" w:cs="Times New Roman" w:hint="eastAsia"/>
          <w:b w:val="0"/>
          <w:sz w:val="32"/>
          <w:szCs w:val="32"/>
          <w:bdr w:val="none" w:sz="0" w:space="0" w:color="auto" w:frame="1"/>
        </w:rPr>
        <w:t xml:space="preserve">ICRP. </w:t>
      </w:r>
      <w:r w:rsidRPr="00EE628C">
        <w:rPr>
          <w:rFonts w:ascii="仿宋_GB2312" w:eastAsia="仿宋_GB2312" w:hAnsi="华文仿宋" w:cs="Times New Roman" w:hint="eastAsia"/>
          <w:sz w:val="32"/>
          <w:szCs w:val="32"/>
        </w:rPr>
        <w:t>ICRP Publication 128</w:t>
      </w:r>
      <w:r w:rsidR="00760FE3" w:rsidRPr="00EE628C">
        <w:rPr>
          <w:rFonts w:ascii="仿宋_GB2312" w:eastAsia="仿宋_GB2312" w:hAnsi="华文仿宋" w:cs="Times New Roman" w:hint="eastAsia"/>
          <w:sz w:val="32"/>
          <w:szCs w:val="32"/>
        </w:rPr>
        <w:t>:</w:t>
      </w:r>
      <w:r w:rsidRPr="00EE628C">
        <w:rPr>
          <w:rFonts w:ascii="仿宋_GB2312" w:eastAsia="仿宋_GB2312" w:hAnsi="华文仿宋" w:cs="Times New Roman" w:hint="eastAsia"/>
          <w:kern w:val="0"/>
          <w:sz w:val="32"/>
          <w:szCs w:val="32"/>
        </w:rPr>
        <w:t>Radiation Dose to Patients from Radiopharmaceuticals: a Compendium of Current Information Related to Frequently Used Substances（2015）</w:t>
      </w:r>
    </w:p>
    <w:p w14:paraId="30024856" w14:textId="77777777" w:rsidR="001474E1" w:rsidRPr="00EE628C" w:rsidRDefault="00B763AA" w:rsidP="005D68FD">
      <w:pPr>
        <w:spacing w:beforeLines="50" w:before="156"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ICH</w:t>
      </w:r>
      <w:r w:rsidR="00760FE3" w:rsidRPr="00EE628C">
        <w:rPr>
          <w:rFonts w:ascii="仿宋_GB2312" w:eastAsia="仿宋_GB2312" w:hAnsi="华文仿宋" w:cs="Times New Roman" w:hint="eastAsia"/>
          <w:sz w:val="32"/>
          <w:szCs w:val="32"/>
        </w:rPr>
        <w:t xml:space="preserve">. ICH </w:t>
      </w:r>
      <w:r w:rsidR="005E6B8A" w:rsidRPr="00EE628C">
        <w:rPr>
          <w:rFonts w:ascii="仿宋_GB2312" w:eastAsia="仿宋_GB2312" w:hAnsi="华文仿宋" w:cs="Times New Roman" w:hint="eastAsia"/>
          <w:sz w:val="32"/>
          <w:szCs w:val="32"/>
        </w:rPr>
        <w:t>M3</w:t>
      </w:r>
      <w:r w:rsidR="00760FE3" w:rsidRPr="00EE628C">
        <w:rPr>
          <w:rFonts w:ascii="仿宋_GB2312" w:eastAsia="仿宋_GB2312" w:hAnsi="华文仿宋" w:cs="Times New Roman" w:hint="eastAsia"/>
          <w:sz w:val="32"/>
          <w:szCs w:val="32"/>
        </w:rPr>
        <w:t>(</w:t>
      </w:r>
      <w:r w:rsidR="005E6B8A" w:rsidRPr="00EE628C">
        <w:rPr>
          <w:rFonts w:ascii="仿宋_GB2312" w:eastAsia="仿宋_GB2312" w:hAnsi="华文仿宋" w:cs="Times New Roman" w:hint="eastAsia"/>
          <w:sz w:val="32"/>
          <w:szCs w:val="32"/>
        </w:rPr>
        <w:t>R2</w:t>
      </w:r>
      <w:r w:rsidR="00760FE3" w:rsidRPr="00EE628C">
        <w:rPr>
          <w:rFonts w:ascii="仿宋_GB2312" w:eastAsia="仿宋_GB2312" w:hAnsi="华文仿宋" w:cs="Times New Roman" w:hint="eastAsia"/>
          <w:sz w:val="32"/>
          <w:szCs w:val="32"/>
        </w:rPr>
        <w:t xml:space="preserve">): </w:t>
      </w:r>
      <w:r w:rsidR="006D33AB" w:rsidRPr="00EE628C">
        <w:rPr>
          <w:rFonts w:ascii="仿宋_GB2312" w:eastAsia="仿宋_GB2312" w:hAnsi="华文仿宋" w:cs="Times New Roman" w:hint="eastAsia"/>
          <w:sz w:val="32"/>
          <w:szCs w:val="32"/>
        </w:rPr>
        <w:t>Guidance on Nonclinical Safety Studies for the Conduct of Human Clinical Trials and Marketing Authorization for Pharmaceuticals（2009）</w:t>
      </w:r>
    </w:p>
    <w:p w14:paraId="629DE202" w14:textId="77777777" w:rsidR="005E6B8A" w:rsidRPr="00EE628C" w:rsidRDefault="006D33AB" w:rsidP="005D68FD">
      <w:pPr>
        <w:spacing w:beforeLines="50" w:before="156"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 xml:space="preserve">ICH. </w:t>
      </w:r>
      <w:r w:rsidR="005E6B8A" w:rsidRPr="00EE628C">
        <w:rPr>
          <w:rFonts w:ascii="仿宋_GB2312" w:eastAsia="仿宋_GB2312" w:hAnsi="华文仿宋" w:cs="Times New Roman" w:hint="eastAsia"/>
          <w:sz w:val="32"/>
          <w:szCs w:val="32"/>
        </w:rPr>
        <w:t>ICH S7A</w:t>
      </w:r>
      <w:r w:rsidRPr="00EE628C">
        <w:rPr>
          <w:rFonts w:ascii="仿宋_GB2312" w:eastAsia="仿宋_GB2312" w:hAnsi="华文仿宋" w:cs="Times New Roman" w:hint="eastAsia"/>
          <w:sz w:val="32"/>
          <w:szCs w:val="32"/>
        </w:rPr>
        <w:t>: Safety Pharmacology Studies for Human Pharmaceuticals</w:t>
      </w:r>
      <w:r w:rsidR="00B822A5" w:rsidRPr="00EE628C">
        <w:rPr>
          <w:rFonts w:ascii="仿宋_GB2312" w:eastAsia="仿宋_GB2312" w:hAnsi="华文仿宋" w:cs="Times New Roman" w:hint="eastAsia"/>
          <w:sz w:val="32"/>
          <w:szCs w:val="32"/>
        </w:rPr>
        <w:t>（2000）</w:t>
      </w:r>
    </w:p>
    <w:p w14:paraId="5DF44D9A" w14:textId="77777777" w:rsidR="003D1D89" w:rsidRDefault="006D33AB" w:rsidP="005D68FD">
      <w:pPr>
        <w:spacing w:beforeLines="50" w:before="156"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t xml:space="preserve">ICH. </w:t>
      </w:r>
      <w:r w:rsidR="005E6B8A" w:rsidRPr="00EE628C">
        <w:rPr>
          <w:rFonts w:ascii="仿宋_GB2312" w:eastAsia="仿宋_GB2312" w:hAnsi="华文仿宋" w:cs="Times New Roman" w:hint="eastAsia"/>
          <w:sz w:val="32"/>
          <w:szCs w:val="32"/>
        </w:rPr>
        <w:t>ICH S7B</w:t>
      </w:r>
      <w:r w:rsidRPr="00EE628C">
        <w:rPr>
          <w:rFonts w:ascii="仿宋_GB2312" w:eastAsia="仿宋_GB2312" w:hAnsi="华文仿宋" w:cs="Times New Roman" w:hint="eastAsia"/>
          <w:sz w:val="32"/>
          <w:szCs w:val="32"/>
        </w:rPr>
        <w:t xml:space="preserve">: </w:t>
      </w:r>
      <w:r w:rsidR="0038579D" w:rsidRPr="00EE628C">
        <w:rPr>
          <w:rFonts w:ascii="仿宋_GB2312" w:eastAsia="仿宋_GB2312" w:hAnsi="华文仿宋" w:cs="Times New Roman" w:hint="eastAsia"/>
          <w:sz w:val="32"/>
          <w:szCs w:val="32"/>
        </w:rPr>
        <w:t>The Non-Clinical Evaluation of the Potential for Delayed Ventricular Repolarization (QT Interval Prolongation) By Human Pharmaceuticals（2005）</w:t>
      </w:r>
    </w:p>
    <w:p w14:paraId="0051F5D9" w14:textId="77777777" w:rsidR="00E9542C" w:rsidRPr="00EE628C" w:rsidRDefault="00E9542C" w:rsidP="005D68FD">
      <w:pPr>
        <w:spacing w:beforeLines="50" w:before="156" w:line="360" w:lineRule="auto"/>
        <w:ind w:firstLineChars="200" w:firstLine="643"/>
        <w:rPr>
          <w:rFonts w:ascii="仿宋_GB2312" w:eastAsia="仿宋_GB2312" w:hAnsi="华文仿宋" w:cs="Times New Roman"/>
          <w:b/>
          <w:sz w:val="32"/>
          <w:szCs w:val="32"/>
        </w:rPr>
      </w:pPr>
    </w:p>
    <w:p w14:paraId="635144B2" w14:textId="77777777" w:rsidR="003D1D89" w:rsidRPr="00E9542C" w:rsidRDefault="000912EB" w:rsidP="005D68FD">
      <w:pPr>
        <w:spacing w:beforeLines="50" w:before="156" w:line="360" w:lineRule="auto"/>
        <w:outlineLvl w:val="0"/>
        <w:rPr>
          <w:rFonts w:ascii="黑体" w:eastAsia="黑体" w:hAnsi="黑体" w:cs="Times New Roman"/>
          <w:sz w:val="32"/>
          <w:szCs w:val="32"/>
        </w:rPr>
      </w:pPr>
      <w:bookmarkStart w:id="39" w:name="_Toc46214321"/>
      <w:bookmarkStart w:id="40" w:name="_Toc49175045"/>
      <w:r w:rsidRPr="00E9542C">
        <w:rPr>
          <w:rFonts w:ascii="黑体" w:eastAsia="黑体" w:hAnsi="黑体" w:cs="Times New Roman" w:hint="eastAsia"/>
          <w:sz w:val="32"/>
          <w:szCs w:val="32"/>
        </w:rPr>
        <w:t>名词</w:t>
      </w:r>
      <w:r w:rsidR="0038579D" w:rsidRPr="00E9542C">
        <w:rPr>
          <w:rFonts w:ascii="黑体" w:eastAsia="黑体" w:hAnsi="黑体" w:cs="Times New Roman" w:hint="eastAsia"/>
          <w:sz w:val="32"/>
          <w:szCs w:val="32"/>
        </w:rPr>
        <w:t>解释</w:t>
      </w:r>
      <w:bookmarkEnd w:id="39"/>
      <w:bookmarkEnd w:id="40"/>
    </w:p>
    <w:p w14:paraId="3FC549B7" w14:textId="6D9E4D10" w:rsidR="00E61927" w:rsidRPr="00EE628C" w:rsidRDefault="00B45265" w:rsidP="005D68FD">
      <w:pPr>
        <w:spacing w:beforeLines="50" w:before="156" w:line="360" w:lineRule="auto"/>
        <w:ind w:firstLineChars="200" w:firstLine="640"/>
        <w:rPr>
          <w:rFonts w:ascii="仿宋_GB2312" w:eastAsia="仿宋_GB2312" w:hAnsi="华文仿宋" w:cs="Times New Roman"/>
          <w:sz w:val="32"/>
          <w:szCs w:val="32"/>
        </w:rPr>
      </w:pPr>
      <w:r w:rsidRPr="00EE628C">
        <w:rPr>
          <w:rFonts w:ascii="仿宋_GB2312" w:eastAsia="仿宋_GB2312" w:hAnsi="华文仿宋" w:cs="Times New Roman" w:hint="eastAsia"/>
          <w:sz w:val="32"/>
          <w:szCs w:val="32"/>
        </w:rPr>
        <w:lastRenderedPageBreak/>
        <w:t>放射性体内诊断药物（</w:t>
      </w:r>
      <w:r w:rsidRPr="0065316B">
        <w:rPr>
          <w:rFonts w:ascii="仿宋_GB2312" w:eastAsia="仿宋_GB2312" w:hAnsi="华文仿宋" w:cs="Times New Roman" w:hint="eastAsia"/>
          <w:spacing w:val="-14"/>
          <w:sz w:val="32"/>
          <w:szCs w:val="32"/>
        </w:rPr>
        <w:t>diagnostic radiopharmaceuticals</w:t>
      </w:r>
      <w:r w:rsidR="00243774">
        <w:rPr>
          <w:rFonts w:ascii="仿宋_GB2312" w:eastAsia="仿宋_GB2312" w:hAnsi="华文仿宋" w:cs="Times New Roman" w:hint="eastAsia"/>
          <w:sz w:val="32"/>
          <w:szCs w:val="32"/>
        </w:rPr>
        <w:t>，在</w:t>
      </w:r>
      <w:r w:rsidRPr="00EE628C">
        <w:rPr>
          <w:rFonts w:ascii="仿宋_GB2312" w:eastAsia="仿宋_GB2312" w:hAnsi="华文仿宋" w:cs="Times New Roman" w:hint="eastAsia"/>
          <w:sz w:val="32"/>
          <w:szCs w:val="32"/>
        </w:rPr>
        <w:t>本指导原则中简称</w:t>
      </w:r>
      <w:r w:rsidR="00243774">
        <w:rPr>
          <w:rFonts w:ascii="仿宋_GB2312" w:eastAsia="仿宋_GB2312" w:hAnsi="华文仿宋" w:cs="Times New Roman" w:hint="eastAsia"/>
          <w:sz w:val="32"/>
          <w:szCs w:val="32"/>
        </w:rPr>
        <w:t>为</w:t>
      </w:r>
      <w:r w:rsidRPr="00EE628C">
        <w:rPr>
          <w:rFonts w:ascii="仿宋_GB2312" w:eastAsia="仿宋_GB2312" w:hAnsi="华文仿宋" w:cs="Times New Roman" w:hint="eastAsia"/>
          <w:sz w:val="32"/>
          <w:szCs w:val="32"/>
        </w:rPr>
        <w:t>放诊药物）</w:t>
      </w:r>
      <w:r w:rsidR="00B33281">
        <w:rPr>
          <w:rFonts w:ascii="仿宋_GB2312" w:eastAsia="仿宋_GB2312" w:hAnsi="华文仿宋" w:cs="Times New Roman" w:hint="eastAsia"/>
          <w:sz w:val="32"/>
          <w:szCs w:val="32"/>
        </w:rPr>
        <w:t>：</w:t>
      </w:r>
      <w:r w:rsidRPr="00EE628C">
        <w:rPr>
          <w:rFonts w:ascii="仿宋_GB2312" w:eastAsia="仿宋_GB2312" w:hAnsi="华文仿宋" w:cs="Times New Roman" w:hint="eastAsia"/>
          <w:sz w:val="32"/>
          <w:szCs w:val="32"/>
        </w:rPr>
        <w:t>是用于获得体内靶器官或病变组织的影像或功能参数，进行疾病诊断的一类体内放射性药物，可用于体检筛查、疾病诊断和器官结构/功能评估。</w:t>
      </w:r>
    </w:p>
    <w:p w14:paraId="6D1DA564" w14:textId="7AC1837A" w:rsidR="002D76D3" w:rsidRPr="00B33281" w:rsidRDefault="003F1BAC" w:rsidP="002D76D3">
      <w:pPr>
        <w:spacing w:line="360" w:lineRule="auto"/>
        <w:ind w:firstLineChars="200" w:firstLine="640"/>
        <w:rPr>
          <w:rFonts w:ascii="仿宋_GB2312" w:eastAsia="仿宋_GB2312" w:hAnsi="华文仿宋" w:cs="Times New Roman"/>
          <w:sz w:val="32"/>
          <w:szCs w:val="32"/>
        </w:rPr>
      </w:pPr>
      <w:r w:rsidRPr="00B33281">
        <w:rPr>
          <w:rFonts w:ascii="仿宋_GB2312" w:eastAsia="仿宋_GB2312" w:hAnsi="华文仿宋" w:cs="Times New Roman"/>
          <w:sz w:val="32"/>
          <w:szCs w:val="32"/>
        </w:rPr>
        <w:t>物理半衰期 （half-time）</w:t>
      </w:r>
      <w:r w:rsidR="00B33281">
        <w:rPr>
          <w:rFonts w:ascii="仿宋_GB2312" w:eastAsia="仿宋_GB2312" w:hAnsi="华文仿宋" w:cs="Times New Roman" w:hint="eastAsia"/>
          <w:sz w:val="32"/>
          <w:szCs w:val="32"/>
        </w:rPr>
        <w:t>：</w:t>
      </w:r>
      <w:r w:rsidRPr="00B33281">
        <w:rPr>
          <w:rFonts w:ascii="仿宋_GB2312" w:eastAsia="仿宋_GB2312" w:hAnsi="华文仿宋" w:cs="Times New Roman"/>
          <w:sz w:val="32"/>
          <w:szCs w:val="32"/>
        </w:rPr>
        <w:t>是指</w:t>
      </w:r>
      <w:r w:rsidRPr="00B33281">
        <w:rPr>
          <w:rFonts w:ascii="仿宋_GB2312" w:eastAsia="仿宋_GB2312" w:hAnsi="华文仿宋" w:cs="Times New Roman" w:hint="eastAsia"/>
          <w:sz w:val="32"/>
          <w:szCs w:val="32"/>
        </w:rPr>
        <w:t>放射性药物中</w:t>
      </w:r>
      <w:r w:rsidRPr="00B33281">
        <w:rPr>
          <w:rFonts w:ascii="仿宋_GB2312" w:eastAsia="仿宋_GB2312" w:hAnsi="华文仿宋" w:cs="Times New Roman"/>
          <w:sz w:val="32"/>
          <w:szCs w:val="32"/>
        </w:rPr>
        <w:t>放射性核素的原子核数目衰变到原来的一半所需要的时间，</w:t>
      </w:r>
      <w:r>
        <w:rPr>
          <w:rFonts w:ascii="仿宋_GB2312" w:eastAsia="仿宋_GB2312" w:hAnsi="华文仿宋" w:cs="Times New Roman" w:hint="eastAsia"/>
          <w:sz w:val="32"/>
          <w:szCs w:val="32"/>
        </w:rPr>
        <w:t>通</w:t>
      </w:r>
      <w:r w:rsidRPr="00B33281">
        <w:rPr>
          <w:rFonts w:ascii="仿宋_GB2312" w:eastAsia="仿宋_GB2312" w:hAnsi="华文仿宋" w:cs="Times New Roman"/>
          <w:sz w:val="32"/>
          <w:szCs w:val="32"/>
        </w:rPr>
        <w:t>常用</w:t>
      </w:r>
      <w:sdt>
        <w:sdtPr>
          <w:rPr>
            <w:rFonts w:ascii="仿宋_GB2312" w:eastAsia="仿宋_GB2312" w:hAnsi="华文仿宋" w:cs="Times New Roman"/>
            <w:sz w:val="32"/>
            <w:szCs w:val="32"/>
          </w:rPr>
          <w:alias w:val="标点符号检查"/>
          <w:id w:val="122605122"/>
          <w:showingPlcHdr/>
        </w:sdtPr>
        <w:sdtEndPr/>
        <w:sdtContent/>
      </w:sdt>
      <w:r w:rsidRPr="00B33281">
        <w:rPr>
          <w:rFonts w:ascii="仿宋_GB2312" w:eastAsia="仿宋_GB2312" w:hAnsi="华文仿宋" w:cs="Times New Roman"/>
          <w:sz w:val="32"/>
          <w:szCs w:val="32"/>
        </w:rPr>
        <w:t>T</w:t>
      </w:r>
      <w:r w:rsidRPr="00B33281">
        <w:rPr>
          <w:rFonts w:ascii="仿宋_GB2312" w:eastAsia="仿宋_GB2312" w:hAnsi="华文仿宋" w:cs="Times New Roman"/>
          <w:sz w:val="32"/>
          <w:szCs w:val="32"/>
          <w:vertAlign w:val="subscript"/>
        </w:rPr>
        <w:t>r</w:t>
      </w:r>
      <w:r w:rsidRPr="00B33281">
        <w:rPr>
          <w:rFonts w:ascii="仿宋_GB2312" w:eastAsia="仿宋_GB2312" w:hAnsi="华文仿宋" w:cs="Times New Roman"/>
          <w:sz w:val="32"/>
          <w:szCs w:val="32"/>
        </w:rPr>
        <w:t>表示。每种放射性核素都有特定的半衰期，它与该放射性核素的衰变常数(</w:t>
      </w:r>
      <w:r w:rsidRPr="00B33281">
        <w:rPr>
          <w:rFonts w:ascii="仿宋_GB2312" w:eastAsia="仿宋_GB2312" w:hAnsi="华文仿宋" w:cs="Times New Roman"/>
          <w:sz w:val="32"/>
          <w:szCs w:val="32"/>
        </w:rPr>
        <w:t>λ</w:t>
      </w:r>
      <w:r w:rsidRPr="00B33281">
        <w:rPr>
          <w:rFonts w:ascii="仿宋_GB2312" w:eastAsia="仿宋_GB2312" w:hAnsi="华文仿宋" w:cs="Times New Roman"/>
          <w:sz w:val="32"/>
          <w:szCs w:val="32"/>
        </w:rPr>
        <w:t>)</w:t>
      </w:r>
      <w:r w:rsidRPr="00B33281">
        <w:rPr>
          <w:rFonts w:ascii="仿宋_GB2312" w:eastAsia="仿宋_GB2312" w:hAnsi="华文仿宋" w:cs="Times New Roman" w:hint="eastAsia"/>
          <w:sz w:val="32"/>
          <w:szCs w:val="32"/>
        </w:rPr>
        <w:t>关系如下：</w:t>
      </w:r>
    </w:p>
    <w:tbl>
      <w:tblPr>
        <w:tblW w:w="0" w:type="auto"/>
        <w:tblInd w:w="3085" w:type="dxa"/>
        <w:tblLayout w:type="fixed"/>
        <w:tblLook w:val="04A0" w:firstRow="1" w:lastRow="0" w:firstColumn="1" w:lastColumn="0" w:noHBand="0" w:noVBand="1"/>
      </w:tblPr>
      <w:tblGrid>
        <w:gridCol w:w="908"/>
        <w:gridCol w:w="1032"/>
      </w:tblGrid>
      <w:tr w:rsidR="003F1BAC" w:rsidRPr="003F1BAC" w14:paraId="3CCA1C4F" w14:textId="77777777" w:rsidTr="00170133">
        <w:tc>
          <w:tcPr>
            <w:tcW w:w="908" w:type="dxa"/>
            <w:vMerge w:val="restart"/>
            <w:vAlign w:val="center"/>
          </w:tcPr>
          <w:p w14:paraId="6E49E7D9" w14:textId="77777777" w:rsidR="003F1BAC" w:rsidRPr="00B33281" w:rsidRDefault="003F1BAC" w:rsidP="00170133">
            <w:pPr>
              <w:spacing w:line="360" w:lineRule="auto"/>
              <w:jc w:val="center"/>
              <w:rPr>
                <w:rFonts w:ascii="仿宋_GB2312" w:eastAsia="仿宋_GB2312" w:hAnsi="华文仿宋" w:cs="Times New Roman"/>
                <w:sz w:val="32"/>
                <w:szCs w:val="32"/>
              </w:rPr>
            </w:pPr>
            <w:r w:rsidRPr="00B33281">
              <w:rPr>
                <w:rFonts w:ascii="仿宋_GB2312" w:eastAsia="仿宋_GB2312" w:hAnsi="华文仿宋" w:cs="Times New Roman"/>
                <w:sz w:val="32"/>
                <w:szCs w:val="32"/>
              </w:rPr>
              <w:t>T</w:t>
            </w:r>
            <w:r w:rsidRPr="00B33281">
              <w:rPr>
                <w:rFonts w:ascii="仿宋_GB2312" w:eastAsia="仿宋_GB2312" w:hAnsi="华文仿宋" w:cs="Times New Roman"/>
                <w:sz w:val="32"/>
                <w:szCs w:val="32"/>
                <w:vertAlign w:val="subscript"/>
              </w:rPr>
              <w:t>r</w:t>
            </w:r>
            <w:r w:rsidRPr="00B33281">
              <w:rPr>
                <w:rFonts w:ascii="仿宋_GB2312" w:eastAsia="仿宋_GB2312" w:hAnsi="华文仿宋" w:cs="Times New Roman"/>
                <w:sz w:val="32"/>
                <w:szCs w:val="32"/>
              </w:rPr>
              <w:t xml:space="preserve"> =</w:t>
            </w:r>
          </w:p>
        </w:tc>
        <w:tc>
          <w:tcPr>
            <w:tcW w:w="1032" w:type="dxa"/>
            <w:vAlign w:val="center"/>
          </w:tcPr>
          <w:p w14:paraId="24506F49" w14:textId="77777777" w:rsidR="003F1BAC" w:rsidRPr="00B33281" w:rsidRDefault="003F1BAC" w:rsidP="00170133">
            <w:pPr>
              <w:spacing w:line="360" w:lineRule="auto"/>
              <w:jc w:val="center"/>
              <w:rPr>
                <w:rFonts w:ascii="仿宋_GB2312" w:eastAsia="仿宋_GB2312" w:hAnsi="华文仿宋" w:cs="Times New Roman"/>
                <w:sz w:val="32"/>
                <w:szCs w:val="32"/>
              </w:rPr>
            </w:pPr>
            <w:r w:rsidRPr="00B33281">
              <w:rPr>
                <w:rFonts w:ascii="仿宋_GB2312" w:eastAsia="仿宋_GB2312" w:hAnsi="华文仿宋" w:cs="Times New Roman"/>
                <w:sz w:val="32"/>
                <w:szCs w:val="32"/>
              </w:rPr>
              <w:t>0.693</w:t>
            </w:r>
          </w:p>
        </w:tc>
      </w:tr>
      <w:tr w:rsidR="003F1BAC" w:rsidRPr="003F1BAC" w14:paraId="41B74B8F" w14:textId="77777777" w:rsidTr="00170133">
        <w:trPr>
          <w:trHeight w:val="351"/>
        </w:trPr>
        <w:tc>
          <w:tcPr>
            <w:tcW w:w="908" w:type="dxa"/>
            <w:vMerge/>
            <w:vAlign w:val="center"/>
          </w:tcPr>
          <w:p w14:paraId="30ACE5E8" w14:textId="77777777" w:rsidR="003F1BAC" w:rsidRPr="00B33281" w:rsidRDefault="003F1BAC" w:rsidP="00170133">
            <w:pPr>
              <w:jc w:val="center"/>
              <w:rPr>
                <w:rFonts w:ascii="仿宋_GB2312" w:eastAsia="仿宋_GB2312" w:hAnsi="华文仿宋" w:cs="Times New Roman"/>
                <w:sz w:val="32"/>
                <w:szCs w:val="32"/>
              </w:rPr>
            </w:pPr>
          </w:p>
        </w:tc>
        <w:tc>
          <w:tcPr>
            <w:tcW w:w="1032" w:type="dxa"/>
            <w:vAlign w:val="center"/>
          </w:tcPr>
          <w:p w14:paraId="73FCBBA3" w14:textId="77777777" w:rsidR="003F1BAC" w:rsidRPr="00B33281" w:rsidRDefault="003F1BAC" w:rsidP="00170133">
            <w:pPr>
              <w:adjustRightInd w:val="0"/>
              <w:snapToGrid w:val="0"/>
              <w:jc w:val="center"/>
              <w:rPr>
                <w:rFonts w:ascii="仿宋_GB2312" w:eastAsia="仿宋_GB2312" w:hAnsi="华文仿宋" w:cs="Times New Roman"/>
                <w:sz w:val="32"/>
                <w:szCs w:val="32"/>
              </w:rPr>
            </w:pPr>
            <w:r w:rsidRPr="00B33281">
              <w:rPr>
                <w:rFonts w:ascii="仿宋_GB2312" w:eastAsia="仿宋_GB2312" w:hAnsi="华文仿宋" w:cs="Times New Roman"/>
                <w:sz w:val="32"/>
                <w:szCs w:val="32"/>
              </w:rPr>
              <w:t>λ</w:t>
            </w:r>
          </w:p>
        </w:tc>
      </w:tr>
    </w:tbl>
    <w:p w14:paraId="2FDA83CB" w14:textId="4CE5490B" w:rsidR="003F1BAC" w:rsidRPr="00B33281" w:rsidRDefault="003F1BAC" w:rsidP="003F1BAC">
      <w:pPr>
        <w:spacing w:line="360" w:lineRule="auto"/>
        <w:ind w:firstLineChars="200" w:firstLine="640"/>
        <w:rPr>
          <w:rFonts w:ascii="仿宋_GB2312" w:eastAsia="仿宋_GB2312" w:hAnsi="华文仿宋" w:cs="Times New Roman"/>
          <w:sz w:val="32"/>
          <w:szCs w:val="32"/>
        </w:rPr>
      </w:pPr>
      <w:r w:rsidRPr="00B33281">
        <w:rPr>
          <w:rFonts w:ascii="仿宋_GB2312" w:eastAsia="仿宋_GB2312" w:hAnsi="华文仿宋" w:cs="Times New Roman"/>
          <w:sz w:val="32"/>
          <w:szCs w:val="32"/>
        </w:rPr>
        <w:t>生物半衰期（biological half-life）</w:t>
      </w:r>
      <w:r w:rsidR="00B33281">
        <w:rPr>
          <w:rFonts w:ascii="仿宋_GB2312" w:eastAsia="仿宋_GB2312" w:hAnsi="华文仿宋" w:cs="Times New Roman" w:hint="eastAsia"/>
          <w:sz w:val="32"/>
          <w:szCs w:val="32"/>
        </w:rPr>
        <w:t>：</w:t>
      </w:r>
      <w:r w:rsidRPr="00B33281">
        <w:rPr>
          <w:rFonts w:ascii="仿宋_GB2312" w:eastAsia="仿宋_GB2312" w:hAnsi="华文仿宋" w:cs="Times New Roman"/>
          <w:sz w:val="32"/>
          <w:szCs w:val="32"/>
        </w:rPr>
        <w:t>是指</w:t>
      </w:r>
      <w:r w:rsidRPr="00B33281">
        <w:rPr>
          <w:rFonts w:ascii="仿宋_GB2312" w:eastAsia="仿宋_GB2312" w:hAnsi="华文仿宋" w:cs="Times New Roman" w:hint="eastAsia"/>
          <w:sz w:val="32"/>
          <w:szCs w:val="32"/>
        </w:rPr>
        <w:t>放射性</w:t>
      </w:r>
      <w:r w:rsidRPr="00B33281">
        <w:rPr>
          <w:rFonts w:ascii="仿宋_GB2312" w:eastAsia="仿宋_GB2312" w:hAnsi="华文仿宋" w:cs="Times New Roman"/>
          <w:sz w:val="32"/>
          <w:szCs w:val="32"/>
        </w:rPr>
        <w:t>药物自体内</w:t>
      </w:r>
      <w:r w:rsidRPr="00B33281">
        <w:rPr>
          <w:rFonts w:ascii="仿宋_GB2312" w:eastAsia="仿宋_GB2312" w:hAnsi="华文仿宋" w:cs="Times New Roman" w:hint="eastAsia"/>
          <w:sz w:val="32"/>
          <w:szCs w:val="32"/>
        </w:rPr>
        <w:t>消除一半</w:t>
      </w:r>
      <w:r w:rsidRPr="00B33281">
        <w:rPr>
          <w:rFonts w:ascii="仿宋_GB2312" w:eastAsia="仿宋_GB2312" w:hAnsi="华文仿宋" w:cs="Times New Roman"/>
          <w:sz w:val="32"/>
          <w:szCs w:val="32"/>
        </w:rPr>
        <w:t>所需的时间，由药物吸收、分布、代谢和排泄过程决定</w:t>
      </w:r>
      <w:r w:rsidRPr="00B33281">
        <w:rPr>
          <w:rFonts w:ascii="仿宋_GB2312" w:eastAsia="仿宋_GB2312" w:hAnsi="华文仿宋" w:cs="Times New Roman" w:hint="eastAsia"/>
          <w:sz w:val="32"/>
          <w:szCs w:val="32"/>
        </w:rPr>
        <w:t>，通常用</w:t>
      </w:r>
      <w:r w:rsidRPr="00B33281">
        <w:rPr>
          <w:rFonts w:ascii="仿宋_GB2312" w:eastAsia="仿宋_GB2312" w:hAnsi="华文仿宋" w:cs="Times New Roman"/>
          <w:sz w:val="32"/>
          <w:szCs w:val="32"/>
        </w:rPr>
        <w:t>T</w:t>
      </w:r>
      <w:r w:rsidRPr="00B33281">
        <w:rPr>
          <w:rFonts w:ascii="仿宋_GB2312" w:eastAsia="仿宋_GB2312" w:hAnsi="华文仿宋" w:cs="Times New Roman"/>
          <w:sz w:val="32"/>
          <w:szCs w:val="32"/>
          <w:vertAlign w:val="subscript"/>
        </w:rPr>
        <w:t>b</w:t>
      </w:r>
      <w:r w:rsidRPr="00B33281">
        <w:rPr>
          <w:rFonts w:ascii="仿宋_GB2312" w:eastAsia="仿宋_GB2312" w:hAnsi="华文仿宋" w:cs="Times New Roman" w:hint="eastAsia"/>
          <w:sz w:val="32"/>
          <w:szCs w:val="32"/>
        </w:rPr>
        <w:t>表示。</w:t>
      </w:r>
    </w:p>
    <w:p w14:paraId="6CFECA3A" w14:textId="70B80273" w:rsidR="003F1BAC" w:rsidRPr="00B33281" w:rsidRDefault="003F1BAC" w:rsidP="003F1BAC">
      <w:pPr>
        <w:spacing w:beforeLines="50" w:before="156" w:line="360" w:lineRule="auto"/>
        <w:ind w:firstLineChars="200" w:firstLine="640"/>
        <w:rPr>
          <w:rFonts w:ascii="仿宋_GB2312" w:eastAsia="仿宋_GB2312" w:hAnsi="华文仿宋" w:cs="Times New Roman"/>
          <w:sz w:val="32"/>
          <w:szCs w:val="32"/>
        </w:rPr>
      </w:pPr>
      <w:r w:rsidRPr="00B33281">
        <w:rPr>
          <w:rFonts w:ascii="仿宋_GB2312" w:eastAsia="仿宋_GB2312" w:hAnsi="华文仿宋" w:cs="Times New Roman"/>
          <w:sz w:val="32"/>
          <w:szCs w:val="32"/>
        </w:rPr>
        <w:t>有效半衰期（effective half-life）</w:t>
      </w:r>
      <w:r w:rsidR="00B33281">
        <w:rPr>
          <w:rFonts w:ascii="仿宋_GB2312" w:eastAsia="仿宋_GB2312" w:hAnsi="华文仿宋" w:cs="Times New Roman" w:hint="eastAsia"/>
          <w:sz w:val="32"/>
          <w:szCs w:val="32"/>
        </w:rPr>
        <w:t>：</w:t>
      </w:r>
      <w:r w:rsidRPr="00B33281">
        <w:rPr>
          <w:rFonts w:ascii="仿宋_GB2312" w:eastAsia="仿宋_GB2312" w:hAnsi="华文仿宋" w:cs="Times New Roman"/>
          <w:sz w:val="32"/>
          <w:szCs w:val="32"/>
        </w:rPr>
        <w:t>是指</w:t>
      </w:r>
      <w:r w:rsidRPr="00B33281">
        <w:rPr>
          <w:rFonts w:ascii="仿宋_GB2312" w:eastAsia="仿宋_GB2312" w:hAnsi="华文仿宋" w:cs="Times New Roman" w:hint="eastAsia"/>
          <w:sz w:val="32"/>
          <w:szCs w:val="32"/>
        </w:rPr>
        <w:t>放射性药物中</w:t>
      </w:r>
      <w:hyperlink r:id="rId9" w:tgtFrame="https://baike.sogou.com/_blank" w:history="1">
        <w:r w:rsidRPr="00B33281">
          <w:rPr>
            <w:rFonts w:ascii="仿宋_GB2312" w:eastAsia="仿宋_GB2312" w:hAnsi="华文仿宋" w:cs="Times New Roman"/>
            <w:sz w:val="32"/>
            <w:szCs w:val="32"/>
          </w:rPr>
          <w:t>放射性核素</w:t>
        </w:r>
      </w:hyperlink>
      <w:r w:rsidRPr="00B33281">
        <w:rPr>
          <w:rFonts w:ascii="仿宋_GB2312" w:eastAsia="仿宋_GB2312" w:hAnsi="华文仿宋" w:cs="Times New Roman"/>
          <w:sz w:val="32"/>
          <w:szCs w:val="32"/>
        </w:rPr>
        <w:t>因</w:t>
      </w:r>
      <w:hyperlink r:id="rId10" w:tgtFrame="https://baike.sogou.com/_blank" w:history="1">
        <w:r w:rsidR="00B33281" w:rsidRPr="00B33281">
          <w:rPr>
            <w:rFonts w:ascii="仿宋_GB2312" w:eastAsia="仿宋_GB2312" w:hAnsi="华文仿宋" w:cs="Times New Roman"/>
            <w:sz w:val="32"/>
            <w:szCs w:val="32"/>
          </w:rPr>
          <w:t>生物</w:t>
        </w:r>
        <w:r w:rsidR="00B33281">
          <w:rPr>
            <w:rFonts w:ascii="仿宋_GB2312" w:eastAsia="仿宋_GB2312" w:hAnsi="华文仿宋" w:cs="Times New Roman" w:hint="eastAsia"/>
            <w:sz w:val="32"/>
            <w:szCs w:val="32"/>
          </w:rPr>
          <w:t>转化</w:t>
        </w:r>
      </w:hyperlink>
      <w:r w:rsidRPr="00B33281">
        <w:rPr>
          <w:rFonts w:ascii="仿宋_GB2312" w:eastAsia="仿宋_GB2312" w:hAnsi="华文仿宋" w:cs="Times New Roman"/>
          <w:sz w:val="32"/>
          <w:szCs w:val="32"/>
        </w:rPr>
        <w:t>与物理衰变共同作用而致在生物体内放射性活</w:t>
      </w:r>
      <w:r w:rsidRPr="00B33281">
        <w:rPr>
          <w:rFonts w:ascii="仿宋_GB2312" w:eastAsia="仿宋_GB2312" w:hAnsi="华文仿宋" w:cs="Times New Roman" w:hint="eastAsia"/>
          <w:sz w:val="32"/>
          <w:szCs w:val="32"/>
        </w:rPr>
        <w:t>度</w:t>
      </w:r>
      <w:r w:rsidRPr="00B33281">
        <w:rPr>
          <w:rFonts w:ascii="仿宋_GB2312" w:eastAsia="仿宋_GB2312" w:hAnsi="华文仿宋" w:cs="Times New Roman"/>
          <w:sz w:val="32"/>
          <w:szCs w:val="32"/>
        </w:rPr>
        <w:t>降低到一半</w:t>
      </w:r>
      <w:r w:rsidRPr="00B33281">
        <w:rPr>
          <w:rFonts w:ascii="仿宋_GB2312" w:eastAsia="仿宋_GB2312" w:hAnsi="华文仿宋" w:cs="Times New Roman" w:hint="eastAsia"/>
          <w:sz w:val="32"/>
          <w:szCs w:val="32"/>
        </w:rPr>
        <w:t>所需</w:t>
      </w:r>
      <w:r w:rsidRPr="00B33281">
        <w:rPr>
          <w:rFonts w:ascii="仿宋_GB2312" w:eastAsia="仿宋_GB2312" w:hAnsi="华文仿宋" w:cs="Times New Roman"/>
          <w:sz w:val="32"/>
          <w:szCs w:val="32"/>
        </w:rPr>
        <w:t>的时间，决定放射性核素在体内滞留时间的长短</w:t>
      </w:r>
      <w:r w:rsidRPr="00B33281">
        <w:rPr>
          <w:rFonts w:ascii="仿宋_GB2312" w:eastAsia="仿宋_GB2312" w:hAnsi="华文仿宋" w:cs="Times New Roman" w:hint="eastAsia"/>
          <w:sz w:val="32"/>
          <w:szCs w:val="32"/>
        </w:rPr>
        <w:t>，通常用</w:t>
      </w:r>
      <w:r w:rsidRPr="00B33281">
        <w:rPr>
          <w:rFonts w:ascii="仿宋_GB2312" w:eastAsia="仿宋_GB2312" w:hAnsi="华文仿宋" w:cs="Times New Roman"/>
          <w:sz w:val="32"/>
          <w:szCs w:val="32"/>
        </w:rPr>
        <w:t>T</w:t>
      </w:r>
      <w:r w:rsidRPr="00B33281">
        <w:rPr>
          <w:rFonts w:ascii="仿宋_GB2312" w:eastAsia="仿宋_GB2312" w:hAnsi="华文仿宋" w:cs="Times New Roman"/>
          <w:sz w:val="32"/>
          <w:szCs w:val="32"/>
          <w:vertAlign w:val="subscript"/>
        </w:rPr>
        <w:t>eff</w:t>
      </w:r>
      <w:r w:rsidRPr="00B33281">
        <w:rPr>
          <w:rFonts w:ascii="仿宋_GB2312" w:eastAsia="仿宋_GB2312" w:hAnsi="华文仿宋" w:cs="Times New Roman" w:hint="eastAsia"/>
          <w:sz w:val="32"/>
          <w:szCs w:val="32"/>
        </w:rPr>
        <w:t>表示，它与物理半衰期、生物半衰期的关系如下：</w:t>
      </w:r>
    </w:p>
    <w:p w14:paraId="0B512583" w14:textId="66868913" w:rsidR="003F1BAC" w:rsidRPr="00905685" w:rsidRDefault="003F1BAC" w:rsidP="00A12EE8">
      <w:pPr>
        <w:spacing w:beforeLines="50" w:before="156" w:line="360" w:lineRule="auto"/>
        <w:ind w:firstLineChars="950" w:firstLine="3040"/>
        <w:rPr>
          <w:rFonts w:ascii="仿宋_GB2312" w:eastAsia="仿宋_GB2312" w:hAnsi="华文仿宋" w:cs="Times New Roman"/>
          <w:sz w:val="32"/>
          <w:szCs w:val="32"/>
        </w:rPr>
      </w:pPr>
      <w:r w:rsidRPr="00B33281">
        <w:rPr>
          <w:rFonts w:ascii="仿宋_GB2312" w:eastAsia="仿宋_GB2312" w:hAnsi="华文仿宋" w:cs="Times New Roman"/>
          <w:sz w:val="32"/>
          <w:szCs w:val="32"/>
        </w:rPr>
        <w:t>1/T</w:t>
      </w:r>
      <w:r w:rsidRPr="00B33281">
        <w:rPr>
          <w:rFonts w:ascii="仿宋_GB2312" w:eastAsia="仿宋_GB2312" w:hAnsi="华文仿宋" w:cs="Times New Roman"/>
          <w:sz w:val="32"/>
          <w:szCs w:val="32"/>
          <w:vertAlign w:val="subscript"/>
        </w:rPr>
        <w:t>eff</w:t>
      </w:r>
      <w:r w:rsidRPr="00B33281">
        <w:rPr>
          <w:rFonts w:ascii="仿宋_GB2312" w:eastAsia="仿宋_GB2312" w:hAnsi="华文仿宋" w:cs="Times New Roman"/>
          <w:sz w:val="32"/>
          <w:szCs w:val="32"/>
        </w:rPr>
        <w:t>=1/T</w:t>
      </w:r>
      <w:r w:rsidRPr="00B33281">
        <w:rPr>
          <w:rFonts w:ascii="仿宋_GB2312" w:eastAsia="仿宋_GB2312" w:hAnsi="华文仿宋" w:cs="Times New Roman"/>
          <w:sz w:val="32"/>
          <w:szCs w:val="32"/>
          <w:vertAlign w:val="subscript"/>
        </w:rPr>
        <w:t>r</w:t>
      </w:r>
      <w:r w:rsidRPr="00B33281">
        <w:rPr>
          <w:rFonts w:ascii="仿宋_GB2312" w:eastAsia="仿宋_GB2312" w:hAnsi="华文仿宋" w:cs="Times New Roman"/>
          <w:sz w:val="32"/>
          <w:szCs w:val="32"/>
        </w:rPr>
        <w:t>+1/T</w:t>
      </w:r>
      <w:r w:rsidRPr="00B33281">
        <w:rPr>
          <w:rFonts w:ascii="仿宋_GB2312" w:eastAsia="仿宋_GB2312" w:hAnsi="华文仿宋" w:cs="Times New Roman"/>
          <w:sz w:val="32"/>
          <w:szCs w:val="32"/>
          <w:vertAlign w:val="subscript"/>
        </w:rPr>
        <w:t>b</w:t>
      </w:r>
    </w:p>
    <w:sectPr w:rsidR="003F1BAC" w:rsidRPr="00905685" w:rsidSect="009C28EE">
      <w:pgSz w:w="11906" w:h="16838"/>
      <w:pgMar w:top="1440" w:right="1797" w:bottom="1440" w:left="1797" w:header="851" w:footer="992" w:gutter="0"/>
      <w:lnNumType w:countBy="1" w:restart="continuous"/>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2A08" w14:textId="77777777" w:rsidR="00171C99" w:rsidRDefault="00171C99" w:rsidP="00EB7845">
      <w:r>
        <w:separator/>
      </w:r>
    </w:p>
  </w:endnote>
  <w:endnote w:type="continuationSeparator" w:id="0">
    <w:p w14:paraId="35113F3E" w14:textId="77777777" w:rsidR="00171C99" w:rsidRDefault="00171C99" w:rsidP="00EB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767"/>
      <w:docPartObj>
        <w:docPartGallery w:val="Page Numbers (Bottom of Page)"/>
        <w:docPartUnique/>
      </w:docPartObj>
    </w:sdtPr>
    <w:sdtEndPr/>
    <w:sdtContent>
      <w:p w14:paraId="4EC500F2" w14:textId="3571F6F0" w:rsidR="009C28EE" w:rsidRDefault="00447EE2">
        <w:pPr>
          <w:pStyle w:val="a5"/>
          <w:jc w:val="center"/>
        </w:pPr>
        <w:r>
          <w:fldChar w:fldCharType="begin"/>
        </w:r>
        <w:r>
          <w:instrText xml:space="preserve"> PAGE   \* MERGEFORMAT </w:instrText>
        </w:r>
        <w:r>
          <w:fldChar w:fldCharType="separate"/>
        </w:r>
        <w:r w:rsidR="001A7EC5" w:rsidRPr="001A7EC5">
          <w:rPr>
            <w:noProof/>
            <w:lang w:val="zh-CN"/>
          </w:rPr>
          <w:t>9</w:t>
        </w:r>
        <w:r>
          <w:rPr>
            <w:noProof/>
            <w:lang w:val="zh-CN"/>
          </w:rPr>
          <w:fldChar w:fldCharType="end"/>
        </w:r>
      </w:p>
    </w:sdtContent>
  </w:sdt>
  <w:p w14:paraId="76C21FEC" w14:textId="77777777" w:rsidR="009C28EE" w:rsidRDefault="009C28E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DCF3" w14:textId="77777777" w:rsidR="00171C99" w:rsidRDefault="00171C99" w:rsidP="00EB7845">
      <w:r>
        <w:separator/>
      </w:r>
    </w:p>
  </w:footnote>
  <w:footnote w:type="continuationSeparator" w:id="0">
    <w:p w14:paraId="0D587921" w14:textId="77777777" w:rsidR="00171C99" w:rsidRDefault="00171C99" w:rsidP="00EB7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D46"/>
    <w:multiLevelType w:val="hybridMultilevel"/>
    <w:tmpl w:val="E4B8F0D4"/>
    <w:lvl w:ilvl="0" w:tplc="FBEAF0F0">
      <w:start w:val="1"/>
      <w:numFmt w:val="decimal"/>
      <w:lvlText w:val="%1."/>
      <w:lvlJc w:val="left"/>
      <w:pPr>
        <w:ind w:left="606" w:hanging="1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7845"/>
    <w:rsid w:val="000049F0"/>
    <w:rsid w:val="0000580F"/>
    <w:rsid w:val="00006BA6"/>
    <w:rsid w:val="0001042D"/>
    <w:rsid w:val="000201AD"/>
    <w:rsid w:val="00036ECB"/>
    <w:rsid w:val="000409FE"/>
    <w:rsid w:val="00051C7D"/>
    <w:rsid w:val="00055CED"/>
    <w:rsid w:val="000653B4"/>
    <w:rsid w:val="00073FEA"/>
    <w:rsid w:val="00074B3D"/>
    <w:rsid w:val="000823A0"/>
    <w:rsid w:val="00083A00"/>
    <w:rsid w:val="000912EB"/>
    <w:rsid w:val="00091CDB"/>
    <w:rsid w:val="000929D2"/>
    <w:rsid w:val="00093B30"/>
    <w:rsid w:val="000A0407"/>
    <w:rsid w:val="000A78D4"/>
    <w:rsid w:val="000A7A06"/>
    <w:rsid w:val="000A7CAA"/>
    <w:rsid w:val="000C4632"/>
    <w:rsid w:val="000C5CF8"/>
    <w:rsid w:val="000C7FE7"/>
    <w:rsid w:val="000E7ACC"/>
    <w:rsid w:val="000F209F"/>
    <w:rsid w:val="001013B4"/>
    <w:rsid w:val="0010235A"/>
    <w:rsid w:val="00102BC4"/>
    <w:rsid w:val="0011099A"/>
    <w:rsid w:val="001137D2"/>
    <w:rsid w:val="001227B5"/>
    <w:rsid w:val="00140D90"/>
    <w:rsid w:val="00144587"/>
    <w:rsid w:val="001474E1"/>
    <w:rsid w:val="00150DDF"/>
    <w:rsid w:val="00152E65"/>
    <w:rsid w:val="0015390E"/>
    <w:rsid w:val="00156BF4"/>
    <w:rsid w:val="00160EF5"/>
    <w:rsid w:val="00161DEB"/>
    <w:rsid w:val="00162985"/>
    <w:rsid w:val="00163340"/>
    <w:rsid w:val="00164AE5"/>
    <w:rsid w:val="00167356"/>
    <w:rsid w:val="00171C99"/>
    <w:rsid w:val="00172646"/>
    <w:rsid w:val="0017551E"/>
    <w:rsid w:val="001835A0"/>
    <w:rsid w:val="0018663F"/>
    <w:rsid w:val="00186EC0"/>
    <w:rsid w:val="00194CD0"/>
    <w:rsid w:val="0019520A"/>
    <w:rsid w:val="001A7EC5"/>
    <w:rsid w:val="001B7410"/>
    <w:rsid w:val="001C0C10"/>
    <w:rsid w:val="001C636C"/>
    <w:rsid w:val="001D1FA4"/>
    <w:rsid w:val="001D6F96"/>
    <w:rsid w:val="001D787C"/>
    <w:rsid w:val="001E6059"/>
    <w:rsid w:val="001F6C73"/>
    <w:rsid w:val="002024E9"/>
    <w:rsid w:val="00203C79"/>
    <w:rsid w:val="002059DB"/>
    <w:rsid w:val="002061D1"/>
    <w:rsid w:val="00221A60"/>
    <w:rsid w:val="00221FD4"/>
    <w:rsid w:val="00231D06"/>
    <w:rsid w:val="00234FD8"/>
    <w:rsid w:val="00236B6C"/>
    <w:rsid w:val="00237FF0"/>
    <w:rsid w:val="00243774"/>
    <w:rsid w:val="00243872"/>
    <w:rsid w:val="00252C4F"/>
    <w:rsid w:val="002539E1"/>
    <w:rsid w:val="002555C3"/>
    <w:rsid w:val="0025708E"/>
    <w:rsid w:val="00257C51"/>
    <w:rsid w:val="002620FC"/>
    <w:rsid w:val="00270BD4"/>
    <w:rsid w:val="00272841"/>
    <w:rsid w:val="0027733B"/>
    <w:rsid w:val="00282A4B"/>
    <w:rsid w:val="002877A2"/>
    <w:rsid w:val="0029363E"/>
    <w:rsid w:val="002A5D59"/>
    <w:rsid w:val="002A7B41"/>
    <w:rsid w:val="002B6342"/>
    <w:rsid w:val="002C4260"/>
    <w:rsid w:val="002C5ABF"/>
    <w:rsid w:val="002D76D3"/>
    <w:rsid w:val="002E0932"/>
    <w:rsid w:val="002E1ABA"/>
    <w:rsid w:val="002E2668"/>
    <w:rsid w:val="002E2A6C"/>
    <w:rsid w:val="002E79AF"/>
    <w:rsid w:val="002F1A61"/>
    <w:rsid w:val="00303B20"/>
    <w:rsid w:val="00304FF5"/>
    <w:rsid w:val="00316077"/>
    <w:rsid w:val="003363F6"/>
    <w:rsid w:val="00342B5A"/>
    <w:rsid w:val="00350118"/>
    <w:rsid w:val="00355213"/>
    <w:rsid w:val="0035537B"/>
    <w:rsid w:val="0036000F"/>
    <w:rsid w:val="00365244"/>
    <w:rsid w:val="0038260D"/>
    <w:rsid w:val="0038579D"/>
    <w:rsid w:val="003865FF"/>
    <w:rsid w:val="00395F89"/>
    <w:rsid w:val="003A6E4D"/>
    <w:rsid w:val="003B4D59"/>
    <w:rsid w:val="003C2BAA"/>
    <w:rsid w:val="003D1D89"/>
    <w:rsid w:val="003E25F2"/>
    <w:rsid w:val="003E26EC"/>
    <w:rsid w:val="003F1BAC"/>
    <w:rsid w:val="003F3009"/>
    <w:rsid w:val="00413BEF"/>
    <w:rsid w:val="0041487B"/>
    <w:rsid w:val="00414BA2"/>
    <w:rsid w:val="00421855"/>
    <w:rsid w:val="00432F00"/>
    <w:rsid w:val="00433CF3"/>
    <w:rsid w:val="004422F8"/>
    <w:rsid w:val="00443872"/>
    <w:rsid w:val="00443959"/>
    <w:rsid w:val="00447EE2"/>
    <w:rsid w:val="00462111"/>
    <w:rsid w:val="0046276F"/>
    <w:rsid w:val="00463EC9"/>
    <w:rsid w:val="0046640F"/>
    <w:rsid w:val="00481D86"/>
    <w:rsid w:val="0048352F"/>
    <w:rsid w:val="004837B8"/>
    <w:rsid w:val="00491B9A"/>
    <w:rsid w:val="004923CC"/>
    <w:rsid w:val="00496A95"/>
    <w:rsid w:val="004A3C96"/>
    <w:rsid w:val="004B1272"/>
    <w:rsid w:val="004B13B8"/>
    <w:rsid w:val="004B2718"/>
    <w:rsid w:val="004B4203"/>
    <w:rsid w:val="004B70EE"/>
    <w:rsid w:val="004C0868"/>
    <w:rsid w:val="004E3AD6"/>
    <w:rsid w:val="004F0F8F"/>
    <w:rsid w:val="004F6B89"/>
    <w:rsid w:val="004F7BFA"/>
    <w:rsid w:val="005016E6"/>
    <w:rsid w:val="00514097"/>
    <w:rsid w:val="00522CC0"/>
    <w:rsid w:val="00523982"/>
    <w:rsid w:val="00524171"/>
    <w:rsid w:val="00530EB8"/>
    <w:rsid w:val="00532F4F"/>
    <w:rsid w:val="00537278"/>
    <w:rsid w:val="005408E4"/>
    <w:rsid w:val="00541805"/>
    <w:rsid w:val="00541DC9"/>
    <w:rsid w:val="00544202"/>
    <w:rsid w:val="00544F51"/>
    <w:rsid w:val="005554F3"/>
    <w:rsid w:val="00556B59"/>
    <w:rsid w:val="00570091"/>
    <w:rsid w:val="00572F36"/>
    <w:rsid w:val="00574FBA"/>
    <w:rsid w:val="00591622"/>
    <w:rsid w:val="005A136A"/>
    <w:rsid w:val="005A4096"/>
    <w:rsid w:val="005A4F00"/>
    <w:rsid w:val="005C0DC2"/>
    <w:rsid w:val="005C25F8"/>
    <w:rsid w:val="005C38EE"/>
    <w:rsid w:val="005C4050"/>
    <w:rsid w:val="005C57D4"/>
    <w:rsid w:val="005C79A6"/>
    <w:rsid w:val="005D3103"/>
    <w:rsid w:val="005D3661"/>
    <w:rsid w:val="005D68FD"/>
    <w:rsid w:val="005D78B0"/>
    <w:rsid w:val="005E4C10"/>
    <w:rsid w:val="005E534D"/>
    <w:rsid w:val="005E6B8A"/>
    <w:rsid w:val="0060258A"/>
    <w:rsid w:val="006030F1"/>
    <w:rsid w:val="0060793A"/>
    <w:rsid w:val="00611EE2"/>
    <w:rsid w:val="00612376"/>
    <w:rsid w:val="00614904"/>
    <w:rsid w:val="0062152D"/>
    <w:rsid w:val="00622625"/>
    <w:rsid w:val="00622C5E"/>
    <w:rsid w:val="006279D5"/>
    <w:rsid w:val="00630E96"/>
    <w:rsid w:val="0064024A"/>
    <w:rsid w:val="006403DD"/>
    <w:rsid w:val="00644DB3"/>
    <w:rsid w:val="0065316B"/>
    <w:rsid w:val="0065710D"/>
    <w:rsid w:val="00657FC4"/>
    <w:rsid w:val="006605BD"/>
    <w:rsid w:val="0066355B"/>
    <w:rsid w:val="00663C2E"/>
    <w:rsid w:val="00671B8C"/>
    <w:rsid w:val="00684F8A"/>
    <w:rsid w:val="00692216"/>
    <w:rsid w:val="006922B0"/>
    <w:rsid w:val="006B1748"/>
    <w:rsid w:val="006B3A9F"/>
    <w:rsid w:val="006B4392"/>
    <w:rsid w:val="006B4466"/>
    <w:rsid w:val="006D20B1"/>
    <w:rsid w:val="006D33AB"/>
    <w:rsid w:val="006D566B"/>
    <w:rsid w:val="006D61E9"/>
    <w:rsid w:val="006E07C4"/>
    <w:rsid w:val="006E15AC"/>
    <w:rsid w:val="006E530A"/>
    <w:rsid w:val="006E7514"/>
    <w:rsid w:val="006F040A"/>
    <w:rsid w:val="006F1E89"/>
    <w:rsid w:val="006F375E"/>
    <w:rsid w:val="00705459"/>
    <w:rsid w:val="0071698C"/>
    <w:rsid w:val="00721464"/>
    <w:rsid w:val="00722637"/>
    <w:rsid w:val="00723BB3"/>
    <w:rsid w:val="00724BC7"/>
    <w:rsid w:val="00724D21"/>
    <w:rsid w:val="00725C38"/>
    <w:rsid w:val="0073225D"/>
    <w:rsid w:val="007402A5"/>
    <w:rsid w:val="00746E89"/>
    <w:rsid w:val="007528E0"/>
    <w:rsid w:val="0075704A"/>
    <w:rsid w:val="00760FE3"/>
    <w:rsid w:val="00772D8E"/>
    <w:rsid w:val="00773504"/>
    <w:rsid w:val="00774303"/>
    <w:rsid w:val="007772D4"/>
    <w:rsid w:val="0078782A"/>
    <w:rsid w:val="00794FDD"/>
    <w:rsid w:val="007A2AEF"/>
    <w:rsid w:val="007B4A2F"/>
    <w:rsid w:val="007C02CE"/>
    <w:rsid w:val="007C3180"/>
    <w:rsid w:val="007C3D03"/>
    <w:rsid w:val="007C4871"/>
    <w:rsid w:val="007C5210"/>
    <w:rsid w:val="007D13FA"/>
    <w:rsid w:val="007D2B4A"/>
    <w:rsid w:val="007D32D5"/>
    <w:rsid w:val="007D7E4C"/>
    <w:rsid w:val="007E0995"/>
    <w:rsid w:val="007E1D66"/>
    <w:rsid w:val="007F4E26"/>
    <w:rsid w:val="0080260A"/>
    <w:rsid w:val="00817C4F"/>
    <w:rsid w:val="00820593"/>
    <w:rsid w:val="00820599"/>
    <w:rsid w:val="00821123"/>
    <w:rsid w:val="00821638"/>
    <w:rsid w:val="00832AAA"/>
    <w:rsid w:val="00842FCA"/>
    <w:rsid w:val="0085016D"/>
    <w:rsid w:val="008675AE"/>
    <w:rsid w:val="008675D5"/>
    <w:rsid w:val="008800B9"/>
    <w:rsid w:val="008828C9"/>
    <w:rsid w:val="0088371D"/>
    <w:rsid w:val="0088436E"/>
    <w:rsid w:val="00892B85"/>
    <w:rsid w:val="008A2D24"/>
    <w:rsid w:val="008A352E"/>
    <w:rsid w:val="008A6F61"/>
    <w:rsid w:val="008A7268"/>
    <w:rsid w:val="008A78F2"/>
    <w:rsid w:val="008C05EA"/>
    <w:rsid w:val="008C1315"/>
    <w:rsid w:val="008E36C3"/>
    <w:rsid w:val="008E3F9B"/>
    <w:rsid w:val="008E7A00"/>
    <w:rsid w:val="008F0C9A"/>
    <w:rsid w:val="008F57E8"/>
    <w:rsid w:val="008F5CDE"/>
    <w:rsid w:val="009002F8"/>
    <w:rsid w:val="009010B0"/>
    <w:rsid w:val="0090115A"/>
    <w:rsid w:val="009045DA"/>
    <w:rsid w:val="00905685"/>
    <w:rsid w:val="009205AB"/>
    <w:rsid w:val="009214B8"/>
    <w:rsid w:val="009214BF"/>
    <w:rsid w:val="00921C32"/>
    <w:rsid w:val="009233E8"/>
    <w:rsid w:val="00923ED6"/>
    <w:rsid w:val="00930ECA"/>
    <w:rsid w:val="00936FEB"/>
    <w:rsid w:val="00937D8E"/>
    <w:rsid w:val="00950751"/>
    <w:rsid w:val="009636F6"/>
    <w:rsid w:val="0097067D"/>
    <w:rsid w:val="00974162"/>
    <w:rsid w:val="00981BA7"/>
    <w:rsid w:val="00995E6D"/>
    <w:rsid w:val="009A1D65"/>
    <w:rsid w:val="009B3630"/>
    <w:rsid w:val="009B6087"/>
    <w:rsid w:val="009C28EE"/>
    <w:rsid w:val="009C3B18"/>
    <w:rsid w:val="009C70A0"/>
    <w:rsid w:val="009D43E7"/>
    <w:rsid w:val="009E37A4"/>
    <w:rsid w:val="009E5E2E"/>
    <w:rsid w:val="009F66A2"/>
    <w:rsid w:val="009F733C"/>
    <w:rsid w:val="00A0371E"/>
    <w:rsid w:val="00A12EE8"/>
    <w:rsid w:val="00A16EF8"/>
    <w:rsid w:val="00A20816"/>
    <w:rsid w:val="00A30609"/>
    <w:rsid w:val="00A33A7C"/>
    <w:rsid w:val="00A36B97"/>
    <w:rsid w:val="00A41B66"/>
    <w:rsid w:val="00A44E96"/>
    <w:rsid w:val="00A4584A"/>
    <w:rsid w:val="00A45D9E"/>
    <w:rsid w:val="00A53CA8"/>
    <w:rsid w:val="00A65655"/>
    <w:rsid w:val="00A65B3A"/>
    <w:rsid w:val="00A67478"/>
    <w:rsid w:val="00A71A50"/>
    <w:rsid w:val="00A812E0"/>
    <w:rsid w:val="00A97BD3"/>
    <w:rsid w:val="00AA4652"/>
    <w:rsid w:val="00AB543F"/>
    <w:rsid w:val="00AB79D7"/>
    <w:rsid w:val="00AB7EA1"/>
    <w:rsid w:val="00AC5480"/>
    <w:rsid w:val="00AD0C36"/>
    <w:rsid w:val="00AD3665"/>
    <w:rsid w:val="00AD5647"/>
    <w:rsid w:val="00AE2FC1"/>
    <w:rsid w:val="00AE5246"/>
    <w:rsid w:val="00AE6219"/>
    <w:rsid w:val="00AF3862"/>
    <w:rsid w:val="00AF451E"/>
    <w:rsid w:val="00AF4685"/>
    <w:rsid w:val="00AF5BD3"/>
    <w:rsid w:val="00B052E1"/>
    <w:rsid w:val="00B06EEA"/>
    <w:rsid w:val="00B1317A"/>
    <w:rsid w:val="00B143F6"/>
    <w:rsid w:val="00B14F5C"/>
    <w:rsid w:val="00B15CEB"/>
    <w:rsid w:val="00B20163"/>
    <w:rsid w:val="00B26A33"/>
    <w:rsid w:val="00B27EE0"/>
    <w:rsid w:val="00B326DA"/>
    <w:rsid w:val="00B33281"/>
    <w:rsid w:val="00B3409E"/>
    <w:rsid w:val="00B377B8"/>
    <w:rsid w:val="00B37AB4"/>
    <w:rsid w:val="00B45265"/>
    <w:rsid w:val="00B46C00"/>
    <w:rsid w:val="00B478E2"/>
    <w:rsid w:val="00B55ABB"/>
    <w:rsid w:val="00B611D4"/>
    <w:rsid w:val="00B6480E"/>
    <w:rsid w:val="00B659C4"/>
    <w:rsid w:val="00B71400"/>
    <w:rsid w:val="00B72B7C"/>
    <w:rsid w:val="00B73187"/>
    <w:rsid w:val="00B763AA"/>
    <w:rsid w:val="00B8036E"/>
    <w:rsid w:val="00B822A5"/>
    <w:rsid w:val="00B870EC"/>
    <w:rsid w:val="00B93F1F"/>
    <w:rsid w:val="00B955CC"/>
    <w:rsid w:val="00BA1912"/>
    <w:rsid w:val="00BA67A7"/>
    <w:rsid w:val="00BA6E8B"/>
    <w:rsid w:val="00BB0348"/>
    <w:rsid w:val="00BB118C"/>
    <w:rsid w:val="00BB700A"/>
    <w:rsid w:val="00BB78BA"/>
    <w:rsid w:val="00BC1013"/>
    <w:rsid w:val="00BF45DA"/>
    <w:rsid w:val="00BF4930"/>
    <w:rsid w:val="00C0583F"/>
    <w:rsid w:val="00C06C1F"/>
    <w:rsid w:val="00C12680"/>
    <w:rsid w:val="00C23467"/>
    <w:rsid w:val="00C347D4"/>
    <w:rsid w:val="00C35129"/>
    <w:rsid w:val="00C412EC"/>
    <w:rsid w:val="00C478BC"/>
    <w:rsid w:val="00C51630"/>
    <w:rsid w:val="00C557F5"/>
    <w:rsid w:val="00C57569"/>
    <w:rsid w:val="00C57CD5"/>
    <w:rsid w:val="00C6026D"/>
    <w:rsid w:val="00C6761A"/>
    <w:rsid w:val="00C679DC"/>
    <w:rsid w:val="00C71DEA"/>
    <w:rsid w:val="00C7546F"/>
    <w:rsid w:val="00C80913"/>
    <w:rsid w:val="00C853E9"/>
    <w:rsid w:val="00C94D41"/>
    <w:rsid w:val="00CA000F"/>
    <w:rsid w:val="00CA08A3"/>
    <w:rsid w:val="00CA14A3"/>
    <w:rsid w:val="00CA5178"/>
    <w:rsid w:val="00CA5C47"/>
    <w:rsid w:val="00CB4610"/>
    <w:rsid w:val="00CC3C46"/>
    <w:rsid w:val="00CC7748"/>
    <w:rsid w:val="00CD25F4"/>
    <w:rsid w:val="00CD3371"/>
    <w:rsid w:val="00CE11AF"/>
    <w:rsid w:val="00CE38FE"/>
    <w:rsid w:val="00CE503B"/>
    <w:rsid w:val="00CE557A"/>
    <w:rsid w:val="00CF22A8"/>
    <w:rsid w:val="00CF59EA"/>
    <w:rsid w:val="00CF7B05"/>
    <w:rsid w:val="00D01EFC"/>
    <w:rsid w:val="00D02FEE"/>
    <w:rsid w:val="00D11F75"/>
    <w:rsid w:val="00D15E67"/>
    <w:rsid w:val="00D16816"/>
    <w:rsid w:val="00D22E81"/>
    <w:rsid w:val="00D24D47"/>
    <w:rsid w:val="00D30012"/>
    <w:rsid w:val="00D35DD4"/>
    <w:rsid w:val="00D36C5E"/>
    <w:rsid w:val="00D40C75"/>
    <w:rsid w:val="00D41B35"/>
    <w:rsid w:val="00D54F4F"/>
    <w:rsid w:val="00D557F4"/>
    <w:rsid w:val="00D57F0A"/>
    <w:rsid w:val="00D81117"/>
    <w:rsid w:val="00D82658"/>
    <w:rsid w:val="00D837DA"/>
    <w:rsid w:val="00D84ABB"/>
    <w:rsid w:val="00D84CEF"/>
    <w:rsid w:val="00D96C0A"/>
    <w:rsid w:val="00DA138C"/>
    <w:rsid w:val="00DA2ABC"/>
    <w:rsid w:val="00DB0239"/>
    <w:rsid w:val="00DB324D"/>
    <w:rsid w:val="00DB3D6F"/>
    <w:rsid w:val="00DB75B2"/>
    <w:rsid w:val="00DC6D5A"/>
    <w:rsid w:val="00DD1579"/>
    <w:rsid w:val="00DD6FE8"/>
    <w:rsid w:val="00DE7840"/>
    <w:rsid w:val="00E07023"/>
    <w:rsid w:val="00E11CEB"/>
    <w:rsid w:val="00E14967"/>
    <w:rsid w:val="00E25F42"/>
    <w:rsid w:val="00E260EF"/>
    <w:rsid w:val="00E30879"/>
    <w:rsid w:val="00E31CB0"/>
    <w:rsid w:val="00E376DF"/>
    <w:rsid w:val="00E37D4B"/>
    <w:rsid w:val="00E559EE"/>
    <w:rsid w:val="00E61927"/>
    <w:rsid w:val="00E65864"/>
    <w:rsid w:val="00E7607C"/>
    <w:rsid w:val="00E765F3"/>
    <w:rsid w:val="00E77529"/>
    <w:rsid w:val="00E82BD4"/>
    <w:rsid w:val="00E8542D"/>
    <w:rsid w:val="00E85E42"/>
    <w:rsid w:val="00E87BA4"/>
    <w:rsid w:val="00E91D16"/>
    <w:rsid w:val="00E9542C"/>
    <w:rsid w:val="00E9626E"/>
    <w:rsid w:val="00E96AD5"/>
    <w:rsid w:val="00EA3D02"/>
    <w:rsid w:val="00EB088C"/>
    <w:rsid w:val="00EB4F64"/>
    <w:rsid w:val="00EB7845"/>
    <w:rsid w:val="00EC048B"/>
    <w:rsid w:val="00EC0B88"/>
    <w:rsid w:val="00EC35A6"/>
    <w:rsid w:val="00EC5DC4"/>
    <w:rsid w:val="00EC65D8"/>
    <w:rsid w:val="00EC79A7"/>
    <w:rsid w:val="00ED31F5"/>
    <w:rsid w:val="00ED79C7"/>
    <w:rsid w:val="00EE628C"/>
    <w:rsid w:val="00EF43A4"/>
    <w:rsid w:val="00F16CED"/>
    <w:rsid w:val="00F1725B"/>
    <w:rsid w:val="00F1778E"/>
    <w:rsid w:val="00F30F24"/>
    <w:rsid w:val="00F34C90"/>
    <w:rsid w:val="00F45609"/>
    <w:rsid w:val="00F46A49"/>
    <w:rsid w:val="00F55CAC"/>
    <w:rsid w:val="00F7478B"/>
    <w:rsid w:val="00F8272C"/>
    <w:rsid w:val="00F85ADA"/>
    <w:rsid w:val="00F9226E"/>
    <w:rsid w:val="00FA5565"/>
    <w:rsid w:val="00FA7ED8"/>
    <w:rsid w:val="00FB21C8"/>
    <w:rsid w:val="00FB497C"/>
    <w:rsid w:val="00FB7CFB"/>
    <w:rsid w:val="00FC6C73"/>
    <w:rsid w:val="00FC7DC3"/>
    <w:rsid w:val="00FC7EA7"/>
    <w:rsid w:val="00FD4381"/>
    <w:rsid w:val="00FF0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60FDC"/>
  <w15:docId w15:val="{4E78F2A7-6974-4A18-B547-E554CB7D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7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8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7845"/>
    <w:rPr>
      <w:sz w:val="18"/>
      <w:szCs w:val="18"/>
    </w:rPr>
  </w:style>
  <w:style w:type="paragraph" w:styleId="a5">
    <w:name w:val="footer"/>
    <w:basedOn w:val="a"/>
    <w:link w:val="a6"/>
    <w:uiPriority w:val="99"/>
    <w:unhideWhenUsed/>
    <w:rsid w:val="00EB7845"/>
    <w:pPr>
      <w:tabs>
        <w:tab w:val="center" w:pos="4153"/>
        <w:tab w:val="right" w:pos="8306"/>
      </w:tabs>
      <w:snapToGrid w:val="0"/>
      <w:jc w:val="left"/>
    </w:pPr>
    <w:rPr>
      <w:sz w:val="18"/>
      <w:szCs w:val="18"/>
    </w:rPr>
  </w:style>
  <w:style w:type="character" w:customStyle="1" w:styleId="a6">
    <w:name w:val="页脚 字符"/>
    <w:basedOn w:val="a0"/>
    <w:link w:val="a5"/>
    <w:uiPriority w:val="99"/>
    <w:rsid w:val="00EB7845"/>
    <w:rPr>
      <w:sz w:val="18"/>
      <w:szCs w:val="18"/>
    </w:rPr>
  </w:style>
  <w:style w:type="paragraph" w:styleId="a7">
    <w:name w:val="List Paragraph"/>
    <w:basedOn w:val="a"/>
    <w:uiPriority w:val="34"/>
    <w:qFormat/>
    <w:rsid w:val="00EB7845"/>
    <w:pPr>
      <w:ind w:firstLineChars="200" w:firstLine="420"/>
    </w:pPr>
  </w:style>
  <w:style w:type="paragraph" w:styleId="a8">
    <w:name w:val="annotation text"/>
    <w:basedOn w:val="a"/>
    <w:link w:val="a9"/>
    <w:uiPriority w:val="99"/>
    <w:unhideWhenUsed/>
    <w:rsid w:val="006403DD"/>
    <w:pPr>
      <w:jc w:val="left"/>
    </w:pPr>
  </w:style>
  <w:style w:type="character" w:customStyle="1" w:styleId="a9">
    <w:name w:val="批注文字 字符"/>
    <w:basedOn w:val="a0"/>
    <w:link w:val="a8"/>
    <w:uiPriority w:val="99"/>
    <w:rsid w:val="006403DD"/>
  </w:style>
  <w:style w:type="character" w:styleId="aa">
    <w:name w:val="annotation reference"/>
    <w:basedOn w:val="a0"/>
    <w:uiPriority w:val="99"/>
    <w:semiHidden/>
    <w:unhideWhenUsed/>
    <w:rsid w:val="00CE11AF"/>
    <w:rPr>
      <w:sz w:val="21"/>
      <w:szCs w:val="21"/>
    </w:rPr>
  </w:style>
  <w:style w:type="paragraph" w:styleId="ab">
    <w:name w:val="annotation subject"/>
    <w:basedOn w:val="a8"/>
    <w:next w:val="a8"/>
    <w:link w:val="ac"/>
    <w:uiPriority w:val="99"/>
    <w:semiHidden/>
    <w:unhideWhenUsed/>
    <w:rsid w:val="00CE11AF"/>
    <w:rPr>
      <w:b/>
      <w:bCs/>
    </w:rPr>
  </w:style>
  <w:style w:type="character" w:customStyle="1" w:styleId="ac">
    <w:name w:val="批注主题 字符"/>
    <w:basedOn w:val="a9"/>
    <w:link w:val="ab"/>
    <w:uiPriority w:val="99"/>
    <w:semiHidden/>
    <w:rsid w:val="00CE11AF"/>
    <w:rPr>
      <w:b/>
      <w:bCs/>
    </w:rPr>
  </w:style>
  <w:style w:type="paragraph" w:styleId="ad">
    <w:name w:val="Balloon Text"/>
    <w:basedOn w:val="a"/>
    <w:link w:val="ae"/>
    <w:uiPriority w:val="99"/>
    <w:semiHidden/>
    <w:unhideWhenUsed/>
    <w:rsid w:val="00CE11AF"/>
    <w:rPr>
      <w:sz w:val="18"/>
      <w:szCs w:val="18"/>
    </w:rPr>
  </w:style>
  <w:style w:type="character" w:customStyle="1" w:styleId="ae">
    <w:name w:val="批注框文本 字符"/>
    <w:basedOn w:val="a0"/>
    <w:link w:val="ad"/>
    <w:uiPriority w:val="99"/>
    <w:semiHidden/>
    <w:rsid w:val="00CE11AF"/>
    <w:rPr>
      <w:sz w:val="18"/>
      <w:szCs w:val="18"/>
    </w:rPr>
  </w:style>
  <w:style w:type="character" w:styleId="af">
    <w:name w:val="Hyperlink"/>
    <w:basedOn w:val="a0"/>
    <w:uiPriority w:val="99"/>
    <w:unhideWhenUsed/>
    <w:rsid w:val="00B763AA"/>
    <w:rPr>
      <w:color w:val="0000FF"/>
      <w:u w:val="single"/>
    </w:rPr>
  </w:style>
  <w:style w:type="character" w:styleId="af0">
    <w:name w:val="Strong"/>
    <w:basedOn w:val="a0"/>
    <w:uiPriority w:val="22"/>
    <w:qFormat/>
    <w:rsid w:val="00B763AA"/>
    <w:rPr>
      <w:b/>
      <w:bCs/>
    </w:rPr>
  </w:style>
  <w:style w:type="paragraph" w:customStyle="1" w:styleId="Default">
    <w:name w:val="Default"/>
    <w:rsid w:val="00B822A5"/>
    <w:pPr>
      <w:widowControl w:val="0"/>
      <w:autoSpaceDE w:val="0"/>
      <w:autoSpaceDN w:val="0"/>
      <w:adjustRightInd w:val="0"/>
    </w:pPr>
    <w:rPr>
      <w:rFonts w:ascii="Century Schoolbook" w:hAnsi="Century Schoolbook" w:cs="Century Schoolbook"/>
      <w:color w:val="000000"/>
      <w:kern w:val="0"/>
      <w:sz w:val="24"/>
      <w:szCs w:val="24"/>
    </w:rPr>
  </w:style>
  <w:style w:type="paragraph" w:styleId="1">
    <w:name w:val="toc 1"/>
    <w:basedOn w:val="a"/>
    <w:next w:val="a"/>
    <w:autoRedefine/>
    <w:uiPriority w:val="39"/>
    <w:unhideWhenUsed/>
    <w:rsid w:val="000912EB"/>
  </w:style>
  <w:style w:type="paragraph" w:styleId="2">
    <w:name w:val="toc 2"/>
    <w:basedOn w:val="a"/>
    <w:next w:val="a"/>
    <w:autoRedefine/>
    <w:uiPriority w:val="39"/>
    <w:unhideWhenUsed/>
    <w:rsid w:val="000912EB"/>
    <w:pPr>
      <w:ind w:leftChars="200" w:left="420"/>
    </w:pPr>
  </w:style>
  <w:style w:type="paragraph" w:styleId="3">
    <w:name w:val="toc 3"/>
    <w:basedOn w:val="a"/>
    <w:next w:val="a"/>
    <w:autoRedefine/>
    <w:uiPriority w:val="39"/>
    <w:unhideWhenUsed/>
    <w:rsid w:val="000912EB"/>
    <w:pPr>
      <w:ind w:leftChars="400" w:left="840"/>
    </w:pPr>
  </w:style>
  <w:style w:type="character" w:styleId="af1">
    <w:name w:val="line number"/>
    <w:basedOn w:val="a0"/>
    <w:uiPriority w:val="99"/>
    <w:semiHidden/>
    <w:unhideWhenUsed/>
    <w:rsid w:val="009B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ike.sogou.com/lemma/ShowInnerLink.htm?lemmaId=1822908&amp;ss_c=ssc.citiao.link" TargetMode="External"/><Relationship Id="rId4" Type="http://schemas.openxmlformats.org/officeDocument/2006/relationships/settings" Target="settings.xml"/><Relationship Id="rId9" Type="http://schemas.openxmlformats.org/officeDocument/2006/relationships/hyperlink" Target="https://baike.sogou.com/lemma/ShowInnerLink.htm?lemmaId=239980&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AA69F-E5E6-4CCC-9ED1-94A6367D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12</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李艾芳</cp:lastModifiedBy>
  <cp:revision>401</cp:revision>
  <cp:lastPrinted>2020-08-24T07:26:00Z</cp:lastPrinted>
  <dcterms:created xsi:type="dcterms:W3CDTF">2020-07-18T01:19:00Z</dcterms:created>
  <dcterms:modified xsi:type="dcterms:W3CDTF">2020-08-26T07:22:00Z</dcterms:modified>
</cp:coreProperties>
</file>